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542A44" w:rsidP="007A0EA6">
      <w:pPr>
        <w:pStyle w:val="CoverpageTitle"/>
      </w:pPr>
      <w:r>
        <w:t>Hadron Polarimetry Systems (6.03.11.02) to Collider Hadron Storage Ring (6.05.04)</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rPr>
          <w:rStyle w:val="Strong"/>
        </w:rPr>
        <w:t>{{Sig_es_:signer1:signature}}</w:t>
      </w:r>
      <w:r w:rsidRPr="002E5DE2">
        <w:tab/>
        <w:t>Date: </w:t>
      </w:r>
      <w:r w:rsidRPr="002E5DE2">
        <w:rPr>
          <w:rStyle w:val="Strong"/>
        </w:rPr>
        <w:t>{{Dte_es_:signer1:date}}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rPr>
          <w:rStyle w:val="Strong"/>
        </w:rPr>
        <w:t>{{Sig_es_:signer2:signature}}</w:t>
      </w:r>
      <w:r w:rsidRPr="002E5DE2">
        <w:tab/>
      </w:r>
      <w:r w:rsidRPr="002E5DE2">
        <w:rPr>
          <w:lang w:val="de-DE"/>
        </w:rPr>
        <w:t xml:space="preserve">Date: </w:t>
      </w:r>
      <w:r w:rsidRPr="002E5DE2">
        <w:rPr>
          <w:rStyle w:val="Strong"/>
        </w:rPr>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{{Sig_es_:signer3:signature}}</w:t>
      </w:r>
      <w:r w:rsidRPr="002E5DE2">
        <w:tab/>
        <w:t xml:space="preserve">Date: </w:t>
      </w:r>
      <w:r w:rsidRPr="002E5DE2">
        <w:rPr>
          <w:rStyle w:val="Strong"/>
        </w:rPr>
        <w:t>{{Dte_es_:signer3:date}}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rPr>
          <w:rStyle w:val="Strong"/>
        </w:rPr>
        <w:t>{{Sig_es_:signer4:signature}}</w:t>
      </w:r>
      <w:r w:rsidRPr="002E5DE2">
        <w:tab/>
      </w:r>
      <w:r w:rsidRPr="002E5DE2">
        <w:rPr>
          <w:lang w:val="de-DE"/>
        </w:rPr>
        <w:t>Date: </w:t>
      </w:r>
      <w:r w:rsidRPr="002E5DE2">
        <w:rPr>
          <w:rStyle w:val="Strong"/>
        </w:rPr>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rPr>
          <w:rStyle w:val="Strong"/>
        </w:rPr>
      </w:pPr>
      <w:r w:rsidRPr="002E5DE2">
        <w:rPr>
          <w:rStyle w:val="Strong"/>
        </w:rPr>
        <w:t>{{Sig_es_:signer5:signature}}</w:t>
      </w:r>
      <w:r w:rsidRPr="002E5DE2">
        <w:tab/>
        <w:t xml:space="preserve">Date: </w:t>
      </w:r>
      <w:r w:rsidRPr="002E5DE2">
        <w:rPr>
          <w:rStyle w:val="Strong"/>
        </w:rPr>
        <w:t>{{Dte_es_:signer5:date}}</w:t>
      </w:r>
      <w:r w:rsidR="00D51AFC">
        <w:rPr>
          <w:rStyle w:val="Strong"/>
        </w:rPr>
        <w:t xml:space="preserve"> </w:t>
      </w:r>
      <w:r w:rsidRPr="002E5DE2">
        <w:rPr>
          <w:rStyle w:val="Strong"/>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542A44"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972" w:history="1">
            <w:r w:rsidR="00542A44" w:rsidRPr="00E42036">
              <w:rPr>
                <w:rStyle w:val="Hyperlink"/>
                <w:noProof/>
              </w:rPr>
              <w:t>1.</w:t>
            </w:r>
            <w:r w:rsidR="00542A44">
              <w:rPr>
                <w:rFonts w:asciiTheme="minorHAnsi" w:eastAsiaTheme="minorEastAsia" w:hAnsiTheme="minorHAnsi"/>
                <w:noProof/>
              </w:rPr>
              <w:tab/>
            </w:r>
            <w:r w:rsidR="00542A44" w:rsidRPr="00E42036">
              <w:rPr>
                <w:rStyle w:val="Hyperlink"/>
                <w:noProof/>
              </w:rPr>
              <w:t>Purpose and Scope</w:t>
            </w:r>
            <w:r w:rsidR="00542A44">
              <w:rPr>
                <w:noProof/>
                <w:webHidden/>
              </w:rPr>
              <w:tab/>
            </w:r>
            <w:r w:rsidR="00542A44">
              <w:rPr>
                <w:noProof/>
                <w:webHidden/>
              </w:rPr>
              <w:fldChar w:fldCharType="begin"/>
            </w:r>
            <w:r w:rsidR="00542A44">
              <w:rPr>
                <w:noProof/>
                <w:webHidden/>
              </w:rPr>
              <w:instrText xml:space="preserve"> PAGEREF _Toc234935972 \h </w:instrText>
            </w:r>
            <w:r w:rsidR="00542A44">
              <w:rPr>
                <w:noProof/>
                <w:webHidden/>
              </w:rPr>
            </w:r>
            <w:r w:rsidR="00542A44">
              <w:rPr>
                <w:noProof/>
                <w:webHidden/>
              </w:rPr>
              <w:fldChar w:fldCharType="separate"/>
            </w:r>
            <w:r w:rsidR="00542A44">
              <w:rPr>
                <w:noProof/>
                <w:webHidden/>
              </w:rPr>
              <w:t>5</w:t>
            </w:r>
            <w:r w:rsidR="00542A44">
              <w:rPr>
                <w:noProof/>
                <w:webHidden/>
              </w:rPr>
              <w:fldChar w:fldCharType="end"/>
            </w:r>
          </w:hyperlink>
        </w:p>
        <w:p w:rsidR="00542A44" w:rsidRDefault="00542A44">
          <w:pPr>
            <w:pStyle w:val="TOC1"/>
            <w:rPr>
              <w:rFonts w:asciiTheme="minorHAnsi" w:eastAsiaTheme="minorEastAsia" w:hAnsiTheme="minorHAnsi"/>
              <w:noProof/>
            </w:rPr>
          </w:pPr>
          <w:hyperlink w:anchor="_Toc234935973" w:history="1">
            <w:r w:rsidRPr="00E42036">
              <w:rPr>
                <w:rStyle w:val="Hyperlink"/>
                <w:noProof/>
              </w:rPr>
              <w:t>2.</w:t>
            </w:r>
            <w:r>
              <w:rPr>
                <w:rFonts w:asciiTheme="minorHAnsi" w:eastAsiaTheme="minorEastAsia" w:hAnsiTheme="minorHAnsi"/>
                <w:noProof/>
              </w:rPr>
              <w:tab/>
            </w:r>
            <w:r w:rsidRPr="00E42036">
              <w:rPr>
                <w:rStyle w:val="Hyperlink"/>
                <w:noProof/>
              </w:rPr>
              <w:t>Introduction</w:t>
            </w:r>
            <w:r>
              <w:rPr>
                <w:noProof/>
                <w:webHidden/>
              </w:rPr>
              <w:tab/>
            </w:r>
            <w:r>
              <w:rPr>
                <w:noProof/>
                <w:webHidden/>
              </w:rPr>
              <w:fldChar w:fldCharType="begin"/>
            </w:r>
            <w:r>
              <w:rPr>
                <w:noProof/>
                <w:webHidden/>
              </w:rPr>
              <w:instrText xml:space="preserve"> PAGEREF _Toc234935973 \h </w:instrText>
            </w:r>
            <w:r>
              <w:rPr>
                <w:noProof/>
                <w:webHidden/>
              </w:rPr>
            </w:r>
            <w:r>
              <w:rPr>
                <w:noProof/>
                <w:webHidden/>
              </w:rPr>
              <w:fldChar w:fldCharType="separate"/>
            </w:r>
            <w:r>
              <w:rPr>
                <w:noProof/>
                <w:webHidden/>
              </w:rPr>
              <w:t>5</w:t>
            </w:r>
            <w:r>
              <w:rPr>
                <w:noProof/>
                <w:webHidden/>
              </w:rPr>
              <w:fldChar w:fldCharType="end"/>
            </w:r>
          </w:hyperlink>
        </w:p>
        <w:p w:rsidR="00542A44" w:rsidRDefault="00542A44">
          <w:pPr>
            <w:pStyle w:val="TOC2"/>
            <w:rPr>
              <w:rFonts w:asciiTheme="minorHAnsi" w:eastAsiaTheme="minorEastAsia" w:hAnsiTheme="minorHAnsi"/>
              <w:lang w:bidi="ar-SA"/>
            </w:rPr>
          </w:pPr>
          <w:hyperlink w:anchor="_Toc234935974" w:history="1">
            <w:r w:rsidRPr="00E42036">
              <w:rPr>
                <w:rStyle w:val="Hyperlink"/>
              </w:rPr>
              <w:t>2.1</w:t>
            </w:r>
            <w:r>
              <w:rPr>
                <w:rFonts w:asciiTheme="minorHAnsi" w:eastAsiaTheme="minorEastAsia" w:hAnsiTheme="minorHAnsi"/>
                <w:lang w:bidi="ar-SA"/>
              </w:rPr>
              <w:tab/>
            </w:r>
            <w:r w:rsidRPr="00E42036">
              <w:rPr>
                <w:rStyle w:val="Hyperlink"/>
              </w:rPr>
              <w:t>Hadron Polarimetry Systems</w:t>
            </w:r>
            <w:r>
              <w:rPr>
                <w:webHidden/>
              </w:rPr>
              <w:tab/>
            </w:r>
            <w:r>
              <w:rPr>
                <w:webHidden/>
              </w:rPr>
              <w:fldChar w:fldCharType="begin"/>
            </w:r>
            <w:r>
              <w:rPr>
                <w:webHidden/>
              </w:rPr>
              <w:instrText xml:space="preserve"> PAGEREF _Toc234935974 \h </w:instrText>
            </w:r>
            <w:r>
              <w:rPr>
                <w:webHidden/>
              </w:rPr>
            </w:r>
            <w:r>
              <w:rPr>
                <w:webHidden/>
              </w:rPr>
              <w:fldChar w:fldCharType="separate"/>
            </w:r>
            <w:r>
              <w:rPr>
                <w:webHidden/>
              </w:rPr>
              <w:t>5</w:t>
            </w:r>
            <w:r>
              <w:rPr>
                <w:webHidden/>
              </w:rPr>
              <w:fldChar w:fldCharType="end"/>
            </w:r>
          </w:hyperlink>
        </w:p>
        <w:p w:rsidR="00542A44" w:rsidRDefault="00542A44">
          <w:pPr>
            <w:pStyle w:val="TOC2"/>
            <w:rPr>
              <w:rFonts w:asciiTheme="minorHAnsi" w:eastAsiaTheme="minorEastAsia" w:hAnsiTheme="minorHAnsi"/>
              <w:lang w:bidi="ar-SA"/>
            </w:rPr>
          </w:pPr>
          <w:hyperlink w:anchor="_Toc234935975" w:history="1">
            <w:r w:rsidRPr="00E42036">
              <w:rPr>
                <w:rStyle w:val="Hyperlink"/>
              </w:rPr>
              <w:t>2.2</w:t>
            </w:r>
            <w:r>
              <w:rPr>
                <w:rFonts w:asciiTheme="minorHAnsi" w:eastAsiaTheme="minorEastAsia" w:hAnsiTheme="minorHAnsi"/>
                <w:lang w:bidi="ar-SA"/>
              </w:rPr>
              <w:tab/>
            </w:r>
            <w:r w:rsidRPr="00E42036">
              <w:rPr>
                <w:rStyle w:val="Hyperlink"/>
              </w:rPr>
              <w:t>Overview of Interface Relationships</w:t>
            </w:r>
            <w:r>
              <w:rPr>
                <w:webHidden/>
              </w:rPr>
              <w:tab/>
            </w:r>
            <w:r>
              <w:rPr>
                <w:webHidden/>
              </w:rPr>
              <w:fldChar w:fldCharType="begin"/>
            </w:r>
            <w:r>
              <w:rPr>
                <w:webHidden/>
              </w:rPr>
              <w:instrText xml:space="preserve"> PAGEREF _Toc234935975 \h </w:instrText>
            </w:r>
            <w:r>
              <w:rPr>
                <w:webHidden/>
              </w:rPr>
            </w:r>
            <w:r>
              <w:rPr>
                <w:webHidden/>
              </w:rPr>
              <w:fldChar w:fldCharType="separate"/>
            </w:r>
            <w:r>
              <w:rPr>
                <w:webHidden/>
              </w:rPr>
              <w:t>9</w:t>
            </w:r>
            <w:r>
              <w:rPr>
                <w:webHidden/>
              </w:rPr>
              <w:fldChar w:fldCharType="end"/>
            </w:r>
          </w:hyperlink>
        </w:p>
        <w:p w:rsidR="00542A44" w:rsidRDefault="00542A44">
          <w:pPr>
            <w:pStyle w:val="TOC2"/>
            <w:rPr>
              <w:rFonts w:asciiTheme="minorHAnsi" w:eastAsiaTheme="minorEastAsia" w:hAnsiTheme="minorHAnsi"/>
              <w:lang w:bidi="ar-SA"/>
            </w:rPr>
          </w:pPr>
          <w:hyperlink w:anchor="_Toc234935976" w:history="1">
            <w:r w:rsidRPr="00E42036">
              <w:rPr>
                <w:rStyle w:val="Hyperlink"/>
              </w:rPr>
              <w:t>2.3</w:t>
            </w:r>
            <w:r>
              <w:rPr>
                <w:rFonts w:asciiTheme="minorHAnsi" w:eastAsiaTheme="minorEastAsia" w:hAnsiTheme="minorHAnsi"/>
                <w:lang w:bidi="ar-SA"/>
              </w:rPr>
              <w:tab/>
            </w:r>
            <w:r w:rsidRPr="00E42036">
              <w:rPr>
                <w:rStyle w:val="Hyperlink"/>
              </w:rPr>
              <w:t>Safety and Environmental Considerations</w:t>
            </w:r>
            <w:r>
              <w:rPr>
                <w:webHidden/>
              </w:rPr>
              <w:tab/>
            </w:r>
            <w:r>
              <w:rPr>
                <w:webHidden/>
              </w:rPr>
              <w:fldChar w:fldCharType="begin"/>
            </w:r>
            <w:r>
              <w:rPr>
                <w:webHidden/>
              </w:rPr>
              <w:instrText xml:space="preserve"> PAGEREF _Toc234935976 \h </w:instrText>
            </w:r>
            <w:r>
              <w:rPr>
                <w:webHidden/>
              </w:rPr>
            </w:r>
            <w:r>
              <w:rPr>
                <w:webHidden/>
              </w:rPr>
              <w:fldChar w:fldCharType="separate"/>
            </w:r>
            <w:r>
              <w:rPr>
                <w:webHidden/>
              </w:rPr>
              <w:t>9</w:t>
            </w:r>
            <w:r>
              <w:rPr>
                <w:webHidden/>
              </w:rPr>
              <w:fldChar w:fldCharType="end"/>
            </w:r>
          </w:hyperlink>
        </w:p>
        <w:p w:rsidR="00542A44" w:rsidRDefault="00542A44">
          <w:pPr>
            <w:pStyle w:val="TOC2"/>
            <w:rPr>
              <w:rFonts w:asciiTheme="minorHAnsi" w:eastAsiaTheme="minorEastAsia" w:hAnsiTheme="minorHAnsi"/>
              <w:lang w:bidi="ar-SA"/>
            </w:rPr>
          </w:pPr>
          <w:hyperlink w:anchor="_Toc234935977" w:history="1">
            <w:r w:rsidRPr="00E42036">
              <w:rPr>
                <w:rStyle w:val="Hyperlink"/>
              </w:rPr>
              <w:t>2.4</w:t>
            </w:r>
            <w:r>
              <w:rPr>
                <w:rFonts w:asciiTheme="minorHAnsi" w:eastAsiaTheme="minorEastAsia" w:hAnsiTheme="minorHAnsi"/>
                <w:lang w:bidi="ar-SA"/>
              </w:rPr>
              <w:tab/>
            </w:r>
            <w:r w:rsidRPr="00E42036">
              <w:rPr>
                <w:rStyle w:val="Hyperlink"/>
              </w:rPr>
              <w:t>Design Considerations</w:t>
            </w:r>
            <w:r>
              <w:rPr>
                <w:webHidden/>
              </w:rPr>
              <w:tab/>
            </w:r>
            <w:r>
              <w:rPr>
                <w:webHidden/>
              </w:rPr>
              <w:fldChar w:fldCharType="begin"/>
            </w:r>
            <w:r>
              <w:rPr>
                <w:webHidden/>
              </w:rPr>
              <w:instrText xml:space="preserve"> PAGEREF _Toc234935977 \h </w:instrText>
            </w:r>
            <w:r>
              <w:rPr>
                <w:webHidden/>
              </w:rPr>
            </w:r>
            <w:r>
              <w:rPr>
                <w:webHidden/>
              </w:rPr>
              <w:fldChar w:fldCharType="separate"/>
            </w:r>
            <w:r>
              <w:rPr>
                <w:webHidden/>
              </w:rPr>
              <w:t>10</w:t>
            </w:r>
            <w:r>
              <w:rPr>
                <w:webHidden/>
              </w:rPr>
              <w:fldChar w:fldCharType="end"/>
            </w:r>
          </w:hyperlink>
        </w:p>
        <w:p w:rsidR="00542A44" w:rsidRDefault="00542A44">
          <w:pPr>
            <w:pStyle w:val="TOC2"/>
            <w:rPr>
              <w:rFonts w:asciiTheme="minorHAnsi" w:eastAsiaTheme="minorEastAsia" w:hAnsiTheme="minorHAnsi"/>
              <w:lang w:bidi="ar-SA"/>
            </w:rPr>
          </w:pPr>
          <w:hyperlink w:anchor="_Toc234935978" w:history="1">
            <w:r w:rsidRPr="00E42036">
              <w:rPr>
                <w:rStyle w:val="Hyperlink"/>
              </w:rPr>
              <w:t>2.5</w:t>
            </w:r>
            <w:r>
              <w:rPr>
                <w:rFonts w:asciiTheme="minorHAnsi" w:eastAsiaTheme="minorEastAsia" w:hAnsiTheme="minorHAnsi"/>
                <w:lang w:bidi="ar-SA"/>
              </w:rPr>
              <w:tab/>
            </w:r>
            <w:r w:rsidRPr="00E42036">
              <w:rPr>
                <w:rStyle w:val="Hyperlink"/>
              </w:rPr>
              <w:t>Organization</w:t>
            </w:r>
            <w:r>
              <w:rPr>
                <w:webHidden/>
              </w:rPr>
              <w:tab/>
            </w:r>
            <w:r>
              <w:rPr>
                <w:webHidden/>
              </w:rPr>
              <w:fldChar w:fldCharType="begin"/>
            </w:r>
            <w:r>
              <w:rPr>
                <w:webHidden/>
              </w:rPr>
              <w:instrText xml:space="preserve"> PAGEREF _Toc234935978 \h </w:instrText>
            </w:r>
            <w:r>
              <w:rPr>
                <w:webHidden/>
              </w:rPr>
            </w:r>
            <w:r>
              <w:rPr>
                <w:webHidden/>
              </w:rPr>
              <w:fldChar w:fldCharType="separate"/>
            </w:r>
            <w:r>
              <w:rPr>
                <w:webHidden/>
              </w:rPr>
              <w:t>10</w:t>
            </w:r>
            <w:r>
              <w:rPr>
                <w:webHidden/>
              </w:rPr>
              <w:fldChar w:fldCharType="end"/>
            </w:r>
          </w:hyperlink>
        </w:p>
        <w:p w:rsidR="00542A44" w:rsidRDefault="00542A44">
          <w:pPr>
            <w:pStyle w:val="TOC1"/>
            <w:rPr>
              <w:rFonts w:asciiTheme="minorHAnsi" w:eastAsiaTheme="minorEastAsia" w:hAnsiTheme="minorHAnsi"/>
              <w:noProof/>
            </w:rPr>
          </w:pPr>
          <w:hyperlink w:anchor="_Toc234935979" w:history="1">
            <w:r w:rsidRPr="00E42036">
              <w:rPr>
                <w:rStyle w:val="Hyperlink"/>
                <w:noProof/>
              </w:rPr>
              <w:t>3.</w:t>
            </w:r>
            <w:r>
              <w:rPr>
                <w:rFonts w:asciiTheme="minorHAnsi" w:eastAsiaTheme="minorEastAsia" w:hAnsiTheme="minorHAnsi"/>
                <w:noProof/>
              </w:rPr>
              <w:tab/>
            </w:r>
            <w:r w:rsidRPr="00E42036">
              <w:rPr>
                <w:rStyle w:val="Hyperlink"/>
                <w:noProof/>
              </w:rPr>
              <w:t>Interface summary</w:t>
            </w:r>
            <w:r>
              <w:rPr>
                <w:noProof/>
                <w:webHidden/>
              </w:rPr>
              <w:tab/>
            </w:r>
            <w:r>
              <w:rPr>
                <w:noProof/>
                <w:webHidden/>
              </w:rPr>
              <w:fldChar w:fldCharType="begin"/>
            </w:r>
            <w:r>
              <w:rPr>
                <w:noProof/>
                <w:webHidden/>
              </w:rPr>
              <w:instrText xml:space="preserve"> PAGEREF _Toc234935979 \h </w:instrText>
            </w:r>
            <w:r>
              <w:rPr>
                <w:noProof/>
                <w:webHidden/>
              </w:rPr>
            </w:r>
            <w:r>
              <w:rPr>
                <w:noProof/>
                <w:webHidden/>
              </w:rPr>
              <w:fldChar w:fldCharType="separate"/>
            </w:r>
            <w:r>
              <w:rPr>
                <w:noProof/>
                <w:webHidden/>
              </w:rPr>
              <w:t>10</w:t>
            </w:r>
            <w:r>
              <w:rPr>
                <w:noProof/>
                <w:webHidden/>
              </w:rPr>
              <w:fldChar w:fldCharType="end"/>
            </w:r>
          </w:hyperlink>
        </w:p>
        <w:p w:rsidR="00542A44" w:rsidRDefault="00542A44">
          <w:pPr>
            <w:pStyle w:val="TOC1"/>
            <w:rPr>
              <w:rFonts w:asciiTheme="minorHAnsi" w:eastAsiaTheme="minorEastAsia" w:hAnsiTheme="minorHAnsi"/>
              <w:noProof/>
            </w:rPr>
          </w:pPr>
          <w:hyperlink w:anchor="_Toc234935980" w:history="1">
            <w:r w:rsidRPr="00E42036">
              <w:rPr>
                <w:rStyle w:val="Hyperlink"/>
                <w:noProof/>
              </w:rPr>
              <w:t>4.</w:t>
            </w:r>
            <w:r>
              <w:rPr>
                <w:rFonts w:asciiTheme="minorHAnsi" w:eastAsiaTheme="minorEastAsia" w:hAnsiTheme="minorHAnsi"/>
                <w:noProof/>
              </w:rPr>
              <w:tab/>
            </w:r>
            <w:r w:rsidRPr="00E42036">
              <w:rPr>
                <w:rStyle w:val="Hyperlink"/>
                <w:noProof/>
              </w:rPr>
              <w:t>Hadron Polarimetry Systems (DET-POL-HPOL) to Collider Hadron Storage Ring (COL-HSR)</w:t>
            </w:r>
            <w:r>
              <w:rPr>
                <w:noProof/>
                <w:webHidden/>
              </w:rPr>
              <w:tab/>
            </w:r>
            <w:r>
              <w:rPr>
                <w:noProof/>
                <w:webHidden/>
              </w:rPr>
              <w:fldChar w:fldCharType="begin"/>
            </w:r>
            <w:r>
              <w:rPr>
                <w:noProof/>
                <w:webHidden/>
              </w:rPr>
              <w:instrText xml:space="preserve"> PAGEREF _Toc234935980 \h </w:instrText>
            </w:r>
            <w:r>
              <w:rPr>
                <w:noProof/>
                <w:webHidden/>
              </w:rPr>
            </w:r>
            <w:r>
              <w:rPr>
                <w:noProof/>
                <w:webHidden/>
              </w:rPr>
              <w:fldChar w:fldCharType="separate"/>
            </w:r>
            <w:r>
              <w:rPr>
                <w:noProof/>
                <w:webHidden/>
              </w:rPr>
              <w:t>11</w:t>
            </w:r>
            <w:r>
              <w:rPr>
                <w:noProof/>
                <w:webHidden/>
              </w:rPr>
              <w:fldChar w:fldCharType="end"/>
            </w:r>
          </w:hyperlink>
        </w:p>
        <w:p w:rsidR="00542A44" w:rsidRDefault="00542A44">
          <w:pPr>
            <w:pStyle w:val="TOC1"/>
            <w:rPr>
              <w:rFonts w:asciiTheme="minorHAnsi" w:eastAsiaTheme="minorEastAsia" w:hAnsiTheme="minorHAnsi"/>
              <w:noProof/>
            </w:rPr>
          </w:pPr>
          <w:hyperlink w:anchor="_Toc234935981" w:history="1">
            <w:r w:rsidRPr="00E42036">
              <w:rPr>
                <w:rStyle w:val="Hyperlink"/>
                <w:noProof/>
              </w:rPr>
              <w:t>5.</w:t>
            </w:r>
            <w:r>
              <w:rPr>
                <w:rFonts w:asciiTheme="minorHAnsi" w:eastAsiaTheme="minorEastAsia" w:hAnsiTheme="minorHAnsi"/>
                <w:noProof/>
              </w:rPr>
              <w:tab/>
            </w:r>
            <w:r w:rsidRPr="00E42036">
              <w:rPr>
                <w:rStyle w:val="Hyperlink"/>
                <w:noProof/>
              </w:rPr>
              <w:t>Applicable Documents</w:t>
            </w:r>
            <w:r>
              <w:rPr>
                <w:noProof/>
                <w:webHidden/>
              </w:rPr>
              <w:tab/>
            </w:r>
            <w:r>
              <w:rPr>
                <w:noProof/>
                <w:webHidden/>
              </w:rPr>
              <w:fldChar w:fldCharType="begin"/>
            </w:r>
            <w:r>
              <w:rPr>
                <w:noProof/>
                <w:webHidden/>
              </w:rPr>
              <w:instrText xml:space="preserve"> PAGEREF _Toc234935981 \h </w:instrText>
            </w:r>
            <w:r>
              <w:rPr>
                <w:noProof/>
                <w:webHidden/>
              </w:rPr>
            </w:r>
            <w:r>
              <w:rPr>
                <w:noProof/>
                <w:webHidden/>
              </w:rPr>
              <w:fldChar w:fldCharType="separate"/>
            </w:r>
            <w:r>
              <w:rPr>
                <w:noProof/>
                <w:webHidden/>
              </w:rPr>
              <w:t>12</w:t>
            </w:r>
            <w:r>
              <w:rPr>
                <w:noProof/>
                <w:webHidden/>
              </w:rPr>
              <w:fldChar w:fldCharType="end"/>
            </w:r>
          </w:hyperlink>
        </w:p>
        <w:p w:rsidR="00542A44" w:rsidRDefault="00542A44">
          <w:pPr>
            <w:pStyle w:val="TOC1"/>
            <w:rPr>
              <w:rFonts w:asciiTheme="minorHAnsi" w:eastAsiaTheme="minorEastAsia" w:hAnsiTheme="minorHAnsi"/>
              <w:noProof/>
            </w:rPr>
          </w:pPr>
          <w:hyperlink w:anchor="_Toc234935982" w:history="1">
            <w:r w:rsidRPr="00E42036">
              <w:rPr>
                <w:rStyle w:val="Hyperlink"/>
                <w:noProof/>
              </w:rPr>
              <w:t>6.</w:t>
            </w:r>
            <w:r>
              <w:rPr>
                <w:rFonts w:asciiTheme="minorHAnsi" w:eastAsiaTheme="minorEastAsia" w:hAnsiTheme="minorHAnsi"/>
                <w:noProof/>
              </w:rPr>
              <w:tab/>
            </w:r>
            <w:r w:rsidRPr="00E42036">
              <w:rPr>
                <w:rStyle w:val="Hyperlink"/>
                <w:noProof/>
              </w:rPr>
              <w:t>Detailed change Log</w:t>
            </w:r>
            <w:r>
              <w:rPr>
                <w:noProof/>
                <w:webHidden/>
              </w:rPr>
              <w:tab/>
            </w:r>
            <w:r>
              <w:rPr>
                <w:noProof/>
                <w:webHidden/>
              </w:rPr>
              <w:fldChar w:fldCharType="begin"/>
            </w:r>
            <w:r>
              <w:rPr>
                <w:noProof/>
                <w:webHidden/>
              </w:rPr>
              <w:instrText xml:space="preserve"> PAGEREF _Toc234935982 \h </w:instrText>
            </w:r>
            <w:r>
              <w:rPr>
                <w:noProof/>
                <w:webHidden/>
              </w:rPr>
            </w:r>
            <w:r>
              <w:rPr>
                <w:noProof/>
                <w:webHidden/>
              </w:rPr>
              <w:fldChar w:fldCharType="separate"/>
            </w:r>
            <w:r>
              <w:rPr>
                <w:noProof/>
                <w:webHidden/>
              </w:rPr>
              <w:t>13</w:t>
            </w:r>
            <w:r>
              <w:rPr>
                <w:noProof/>
                <w:webHidden/>
              </w:rPr>
              <w:fldChar w:fldCharType="end"/>
            </w:r>
          </w:hyperlink>
        </w:p>
        <w:p w:rsidR="00542A44" w:rsidRDefault="00542A44">
          <w:pPr>
            <w:pStyle w:val="TOC1"/>
            <w:rPr>
              <w:rFonts w:asciiTheme="minorHAnsi" w:eastAsiaTheme="minorEastAsia" w:hAnsiTheme="minorHAnsi"/>
              <w:noProof/>
            </w:rPr>
          </w:pPr>
          <w:hyperlink w:anchor="_Toc234935983" w:history="1">
            <w:r w:rsidRPr="00E42036">
              <w:rPr>
                <w:rStyle w:val="Hyperlink"/>
                <w:noProof/>
              </w:rPr>
              <w:t>7.</w:t>
            </w:r>
            <w:r>
              <w:rPr>
                <w:rFonts w:asciiTheme="minorHAnsi" w:eastAsiaTheme="minorEastAsia" w:hAnsiTheme="minorHAnsi"/>
                <w:noProof/>
              </w:rPr>
              <w:tab/>
            </w:r>
            <w:r w:rsidRPr="00E42036">
              <w:rPr>
                <w:rStyle w:val="Hyperlink"/>
                <w:noProof/>
              </w:rPr>
              <w:t>References</w:t>
            </w:r>
            <w:r>
              <w:rPr>
                <w:noProof/>
                <w:webHidden/>
              </w:rPr>
              <w:tab/>
            </w:r>
            <w:r>
              <w:rPr>
                <w:noProof/>
                <w:webHidden/>
              </w:rPr>
              <w:fldChar w:fldCharType="begin"/>
            </w:r>
            <w:r>
              <w:rPr>
                <w:noProof/>
                <w:webHidden/>
              </w:rPr>
              <w:instrText xml:space="preserve"> PAGEREF _Toc234935983 \h </w:instrText>
            </w:r>
            <w:r>
              <w:rPr>
                <w:noProof/>
                <w:webHidden/>
              </w:rPr>
            </w:r>
            <w:r>
              <w:rPr>
                <w:noProof/>
                <w:webHidden/>
              </w:rPr>
              <w:fldChar w:fldCharType="separate"/>
            </w:r>
            <w:r>
              <w:rPr>
                <w:noProof/>
                <w:webHidden/>
              </w:rPr>
              <w:t>13</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EIC</w:t>
            </w:r>
          </w:p>
        </w:tc>
        <w:tc>
          <w:tcPr>
            <w:tcW w:w="7407" w:type="dxa"/>
          </w:tcPr>
          <w:p w:rsidR="003E6B78" w:rsidRPr="00AB7321" w:rsidRDefault="003E6B78" w:rsidP="00FE0421">
            <w:pPr>
              <w:tabs>
                <w:tab w:val="left" w:pos="866"/>
              </w:tabs>
              <w:spacing w:line="276" w:lineRule="auto"/>
            </w:pPr>
            <w:r w:rsidRPr="00AB7321">
              <w:t>Electron-Ion Collider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FDR</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542A44" w:rsidP="007A0EA6">
      <w:pPr>
        <w:pStyle w:val="Subtitle"/>
      </w:pPr>
      <w:r>
        <w:t>Hadron Polarimetry Systems (6.03.11.02) to Collider Hadron Storage Ring (6.05.04)</w:t>
      </w:r>
    </w:p>
    <w:p w:rsidR="007A0EA6" w:rsidRPr="007A0EA6" w:rsidRDefault="007A0EA6" w:rsidP="00245F70">
      <w:pPr>
        <w:pStyle w:val="Heading1"/>
      </w:pPr>
      <w:bookmarkStart w:id="4" w:name="_Toc137386757"/>
      <w:bookmarkStart w:id="5" w:name="_Toc137386892"/>
      <w:bookmarkStart w:id="6" w:name="_Hlk137377210"/>
      <w:bookmarkStart w:id="7" w:name="_Toc234935972"/>
      <w:r w:rsidRPr="007A0EA6">
        <w:t>Purpose and Scope</w:t>
      </w:r>
      <w:bookmarkEnd w:id="4"/>
      <w:bookmarkEnd w:id="5"/>
      <w:bookmarkEnd w:id="7"/>
    </w:p>
    <w:p w:rsidR="00D97EF0" w:rsidRDefault="00D97EF0" w:rsidP="008A1A4B">
      <w:pPr>
        <w:pStyle w:val="Body1"/>
      </w:pPr>
      <w:bookmarkStart w:id="8" w:name="_Toc137386758"/>
      <w:bookmarkStart w:id="9" w:name="_Toc137386893"/>
      <w:bookmarkEnd w:id="6"/>
      <w:r w:rsidRPr="007A0EA6">
        <w:t xml:space="preserve">This document records the agreed upon interfaces between the </w:t>
      </w:r>
      <w:r w:rsidR="00542A44">
        <w:t>Hadron Polarimetry Systems</w:t>
      </w:r>
      <w:r w:rsidR="003F75E7">
        <w:t xml:space="preserve"> </w:t>
      </w:r>
      <w:r w:rsidRPr="007A0EA6">
        <w:t xml:space="preserve">and </w:t>
      </w:r>
      <w:r>
        <w:t xml:space="preserve">other sub-systems within the </w:t>
      </w:r>
      <w:r w:rsidR="00542A44">
        <w:t>Collider Hadron Storage Ring</w:t>
      </w:r>
      <w:r w:rsidR="008A1A4B">
        <w:t xml:space="preserve">, </w:t>
      </w:r>
      <w:r w:rsidR="008A1A4B" w:rsidRPr="008A1A4B">
        <w:t>specifically the hydrogen-jet polarimeter (HJET) and the proton-Carbon</w:t>
      </w:r>
      <w:r w:rsidR="003A652D">
        <w:t xml:space="preserve"> </w:t>
      </w:r>
      <w:r w:rsidR="003A652D" w:rsidRPr="008A1A4B">
        <w:t>(pC)</w:t>
      </w:r>
      <w:r w:rsidR="008A1A4B" w:rsidRPr="008A1A4B">
        <w:t xml:space="preserve"> polarimeters. These two instruments will be located in IP4, and an additional pC polarimeter will be deployed in the interaction region. </w:t>
      </w:r>
      <w:r w:rsidR="008A1A4B">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973"/>
      <w:r w:rsidRPr="007A0EA6">
        <w:t>Introduction</w:t>
      </w:r>
      <w:bookmarkEnd w:id="8"/>
      <w:bookmarkEnd w:id="9"/>
      <w:bookmarkEnd w:id="10"/>
    </w:p>
    <w:p w:rsidR="00D97EF0" w:rsidRDefault="00D97EF0" w:rsidP="00D97EF0">
      <w:pPr>
        <w:pStyle w:val="Body1"/>
      </w:pPr>
      <w:bookmarkStart w:id="11" w:name="_Toc137386894"/>
      <w:r w:rsidRPr="007A0EA6">
        <w:t xml:space="preserve">These interfaces describe the relationships between the </w:t>
      </w:r>
      <w:r w:rsidR="00542A44">
        <w:t>Hadron Polarimetry Systems</w:t>
      </w:r>
      <w:r w:rsidR="00121CD0">
        <w:t xml:space="preserve"> </w:t>
      </w:r>
      <w:r w:rsidRPr="007A0EA6">
        <w:t xml:space="preserve">and the </w:t>
      </w:r>
      <w:r w:rsidR="00542A44">
        <w:t>Collider Hadron Storage Ring</w:t>
      </w:r>
      <w:r w:rsidR="00121CD0">
        <w:t xml:space="preserve"> including (examples by inclusion) located in (areas by inclusion). </w:t>
      </w:r>
    </w:p>
    <w:p w:rsidR="007A0EA6" w:rsidRPr="007A0EA6" w:rsidRDefault="00542A44" w:rsidP="00F63229">
      <w:pPr>
        <w:pStyle w:val="Heading2"/>
      </w:pPr>
      <w:bookmarkStart w:id="12" w:name="_Toc234935974"/>
      <w:bookmarkEnd w:id="11"/>
      <w:r>
        <w:t>Hadron Polarimetry Systems</w:t>
      </w:r>
      <w:bookmarkEnd w:id="12"/>
    </w:p>
    <w:p w:rsidR="003A652D" w:rsidRPr="003A652D" w:rsidRDefault="003A652D" w:rsidP="003A652D">
      <w:pPr>
        <w:pStyle w:val="Body2"/>
      </w:pPr>
      <w:bookmarkStart w:id="13" w:name="_Toc137386896"/>
      <w:r w:rsidRPr="003A652D">
        <w:t>The physics program of an EIC requires that both beams, electrons and light hadrons, are polarized. To measure the polarization requires high precision polarimetry. This document discusses the hadron polarimetry in the hadron storage ring (HSR) of the EIC.</w:t>
      </w:r>
    </w:p>
    <w:p w:rsidR="003A652D" w:rsidRPr="003A652D" w:rsidRDefault="003A652D" w:rsidP="003A652D">
      <w:pPr>
        <w:pStyle w:val="Body2"/>
        <w:rPr>
          <w:rStyle w:val="PageNumber"/>
        </w:rPr>
      </w:pPr>
      <w:r w:rsidRPr="003A652D">
        <w:rPr>
          <w:rStyle w:val="PageNumber"/>
        </w:rPr>
        <w:t>There are three types of polarimeters in the HSR</w:t>
      </w:r>
    </w:p>
    <w:p w:rsidR="003A652D" w:rsidRPr="003A652D" w:rsidRDefault="003A652D" w:rsidP="003A652D">
      <w:pPr>
        <w:pStyle w:val="Body2Numbered"/>
      </w:pPr>
      <w:r w:rsidRPr="003A652D">
        <w:rPr>
          <w:rStyle w:val="PageNumber"/>
        </w:rPr>
        <w:t xml:space="preserve">An absolute polarimeter using a polarized hydrogen jet target (HJET), see </w:t>
      </w:r>
      <w:r w:rsidR="00381B59">
        <w:rPr>
          <w:rStyle w:val="PageNumber"/>
        </w:rPr>
        <w:t>Figure 1</w:t>
      </w:r>
      <w:r w:rsidRPr="003A652D">
        <w:rPr>
          <w:rStyle w:val="PageNumber"/>
        </w:rPr>
        <w:t>.</w:t>
      </w:r>
    </w:p>
    <w:p w:rsidR="003A652D" w:rsidRPr="003A652D" w:rsidRDefault="003A652D" w:rsidP="003A652D">
      <w:pPr>
        <w:pStyle w:val="Body2Numbered"/>
      </w:pPr>
      <w:r w:rsidRPr="003A652D">
        <w:rPr>
          <w:rStyle w:val="PageNumber"/>
        </w:rPr>
        <w:t xml:space="preserve">Two fast proton-carbon (pC) polarimeters giving relative polarization measurements and determining the polarization profile as well as the polarization lifetime through a fill, see </w:t>
      </w:r>
      <w:r w:rsidR="00381B59">
        <w:rPr>
          <w:rStyle w:val="PageNumber"/>
        </w:rPr>
        <w:t>Figure 2</w:t>
      </w:r>
      <w:r w:rsidRPr="003A652D">
        <w:rPr>
          <w:rStyle w:val="PageNumber"/>
        </w:rPr>
        <w:t>.</w:t>
      </w:r>
    </w:p>
    <w:p w:rsidR="003A652D" w:rsidRPr="003A652D" w:rsidRDefault="003A652D" w:rsidP="003A652D">
      <w:pPr>
        <w:pStyle w:val="Body2Numbered"/>
      </w:pPr>
      <w:r w:rsidRPr="003A652D">
        <w:rPr>
          <w:rStyle w:val="PageNumber"/>
        </w:rPr>
        <w:t>A local pC polarimeters in the interaction between the spin rotators to measure the spin orientation in the transverse (xy-plane) at the main detector.</w:t>
      </w:r>
    </w:p>
    <w:p w:rsidR="003A652D" w:rsidRPr="003A652D" w:rsidRDefault="003A652D" w:rsidP="003A652D">
      <w:pPr>
        <w:pStyle w:val="Body2"/>
        <w:rPr>
          <w:rStyle w:val="PageNumber"/>
        </w:rPr>
      </w:pPr>
      <w:r w:rsidRPr="003A652D">
        <w:rPr>
          <w:rStyle w:val="PageNumber"/>
        </w:rPr>
        <w:t xml:space="preserve">The fast polarimetry will be based on very small angle polarized proton-carbon (pC) elastic scattering in the Coulomb-Nuclear Interference (CNI) region. Typically, </w:t>
      </w:r>
      <m:oMath>
        <m:r>
          <m:rPr>
            <m:sty m:val="p"/>
          </m:rPr>
          <w:rPr>
            <w:rStyle w:val="PageNumber"/>
            <w:rFonts w:ascii="Cambria Math" w:hAnsi="Cambria Math"/>
          </w:rPr>
          <m:t>50-100∙</m:t>
        </m:r>
        <m:sSup>
          <m:sSupPr>
            <m:ctrlPr>
              <w:rPr>
                <w:rStyle w:val="PageNumber"/>
                <w:rFonts w:ascii="Cambria Math" w:hAnsi="Cambria Math"/>
              </w:rPr>
            </m:ctrlPr>
          </m:sSupPr>
          <m:e>
            <m:r>
              <m:rPr>
                <m:sty m:val="p"/>
              </m:rPr>
              <w:rPr>
                <w:rStyle w:val="PageNumber"/>
                <w:rFonts w:ascii="Cambria Math" w:hAnsi="Cambria Math"/>
              </w:rPr>
              <m:t>10</m:t>
            </m:r>
          </m:e>
          <m:sup>
            <m:r>
              <m:rPr>
                <m:sty m:val="p"/>
              </m:rPr>
              <w:rPr>
                <w:rStyle w:val="PageNumber"/>
                <w:rFonts w:ascii="Cambria Math" w:hAnsi="Cambria Math"/>
              </w:rPr>
              <m:t>6</m:t>
            </m:r>
          </m:sup>
        </m:sSup>
      </m:oMath>
      <w:r w:rsidRPr="003A652D">
        <w:rPr>
          <w:rStyle w:val="PageNumber"/>
        </w:rPr>
        <w:t xml:space="preserve"> events are collected in </w:t>
      </w:r>
      <m:oMath>
        <m:r>
          <m:rPr>
            <m:sty m:val="p"/>
          </m:rPr>
          <w:rPr>
            <w:rStyle w:val="PageNumber"/>
            <w:rFonts w:ascii="Cambria Math" w:hAnsi="Cambria Math"/>
          </w:rPr>
          <m:t>30 s</m:t>
        </m:r>
      </m:oMath>
      <w:r w:rsidRPr="003A652D">
        <w:rPr>
          <w:rStyle w:val="PageNumber"/>
        </w:rPr>
        <w:t xml:space="preserve">, giving a </w:t>
      </w:r>
      <w:r w:rsidRPr="003A652D">
        <w:t xml:space="preserve">ç </w:t>
      </w:r>
      <w:r w:rsidRPr="003A652D">
        <w:rPr>
          <w:rStyle w:val="PageNumber"/>
        </w:rPr>
        <w:t xml:space="preserve">relative uncertainty measurement of the beam polarization per sweep of the thin carbon fiber across the beam. Zero dead time readout is desirable to record the data. The pC polarimeters (see </w:t>
      </w:r>
      <w:r w:rsidR="00381B59">
        <w:rPr>
          <w:rStyle w:val="PageNumber"/>
        </w:rPr>
        <w:t>Figure 1</w:t>
      </w:r>
      <w:r w:rsidRPr="003A652D">
        <w:rPr>
          <w:rStyle w:val="PageNumber"/>
        </w:rPr>
        <w:t xml:space="preserve">) will provide the polarization normalization for the experiments for each fill. Measurements before and after the acceleration ramp are used to quantify the polarization loss, particularly during studies of beam acceleration to the highest energies. i.e, </w:t>
      </w:r>
      <m:oMath>
        <m:r>
          <m:rPr>
            <m:sty m:val="p"/>
          </m:rPr>
          <w:rPr>
            <w:rStyle w:val="PageNumber"/>
            <w:rFonts w:ascii="Cambria Math" w:hAnsi="Cambria Math"/>
          </w:rPr>
          <m:t>100</m:t>
        </m:r>
      </m:oMath>
      <w:r w:rsidRPr="003A652D">
        <w:rPr>
          <w:rStyle w:val="PageNumber"/>
        </w:rPr>
        <w:t xml:space="preserve"> and </w:t>
      </w:r>
      <m:oMath>
        <m:r>
          <m:rPr>
            <m:sty m:val="p"/>
          </m:rPr>
          <w:rPr>
            <w:rStyle w:val="PageNumber"/>
            <w:rFonts w:ascii="Cambria Math" w:hAnsi="Cambria Math"/>
          </w:rPr>
          <m:t>275 GeV</m:t>
        </m:r>
      </m:oMath>
      <w:r w:rsidRPr="003A652D">
        <w:rPr>
          <w:rStyle w:val="PageNumber"/>
        </w:rPr>
        <w:t xml:space="preserve">. Measurement will be made every 2-3 h throughout a EIC fill, providing the polarization lifetime. Each measurement sweeps of the carbon ribbon target across the beam provides the transverse polarization profile. </w:t>
      </w:r>
    </w:p>
    <w:p w:rsidR="003A652D" w:rsidRPr="003A652D" w:rsidRDefault="003A652D" w:rsidP="003A652D">
      <w:pPr>
        <w:pStyle w:val="Body2"/>
      </w:pPr>
      <w:r w:rsidRPr="003A652D">
        <w:rPr>
          <w:rStyle w:val="PageNumber"/>
        </w:rPr>
        <w:t xml:space="preserve">Carbon fiber targets with the most robust specifications, as learned from experience from RHIC, will be reused after upgrades. The target holders will be produced from a non-conducting material (e.g., Al2O3) to reduce electromagnetic wake fields in the scattering chamber. </w:t>
      </w:r>
      <w:r w:rsidRPr="003A652D">
        <w:t xml:space="preserve">To avoid the requirement for breaking the </w:t>
      </w:r>
      <w:r w:rsidRPr="003A652D">
        <w:lastRenderedPageBreak/>
        <w:t>vacuum to install the carbon ribbon targets, the pC target chamber system will be redesigned to incorporate a vacuum transfer chamber.</w:t>
      </w:r>
    </w:p>
    <w:p w:rsidR="003A652D" w:rsidRPr="003A652D" w:rsidRDefault="003A652D" w:rsidP="003A652D">
      <w:pPr>
        <w:pStyle w:val="Body2"/>
      </w:pPr>
      <w:r w:rsidRPr="003A652D">
        <w:t>The hydrogen‐jet polarimeter employs a polarized atomic hydrogen beam to set the absolute polarization scale via a Breit–Rabi polarimeter, while relative asymmetries between target and beam spin states are used to determine the beam polarization. The precision is statistically limited by the target thickness, yielding about 3-4% statistical uncertainty per typical 8-hour fill.</w:t>
      </w:r>
    </w:p>
    <w:p w:rsidR="003A652D" w:rsidRPr="003A652D" w:rsidRDefault="003A652D" w:rsidP="003A652D">
      <w:pPr>
        <w:pStyle w:val="Body2"/>
      </w:pPr>
      <w:r w:rsidRPr="003A652D">
        <w:t xml:space="preserve">For operation at the Electron-Ion Collider, the HJET (see </w:t>
      </w:r>
      <w:r w:rsidR="00381B59">
        <w:t>Figure 2</w:t>
      </w:r>
      <w:r w:rsidRPr="003A652D">
        <w:t xml:space="preserve">) must undergo substantial upgrades to maintain its role as the absolute polarization standard. The most critical modification concerns the holding-field system: the magnetic field strength needs to be increased from roughly </w:t>
      </w:r>
      <m:oMath>
        <m:r>
          <m:rPr>
            <m:sty m:val="p"/>
          </m:rPr>
          <w:rPr>
            <w:rFonts w:ascii="Cambria Math" w:hAnsi="Cambria Math"/>
          </w:rPr>
          <m:t>120 mT</m:t>
        </m:r>
      </m:oMath>
      <w:r w:rsidRPr="003A652D">
        <w:t xml:space="preserve"> to about </w:t>
      </w:r>
      <m:oMath>
        <m:r>
          <m:rPr>
            <m:sty m:val="p"/>
          </m:rPr>
          <w:rPr>
            <w:rFonts w:ascii="Cambria Math" w:hAnsi="Cambria Math"/>
          </w:rPr>
          <m:t>400 mT</m:t>
        </m:r>
      </m:oMath>
      <w:r w:rsidRPr="003A652D">
        <w:t xml:space="preserve"> to shift the atomic transition frequencies above beam harmonics and suppress beam-induced depolarization. As an initial, first-order implementation, a vertical (</w:t>
      </w:r>
      <m:oMath>
        <m:sSub>
          <m:sSubPr>
            <m:ctrlPr>
              <w:rPr>
                <w:rFonts w:ascii="Cambria Math" w:hAnsi="Cambria Math"/>
              </w:rPr>
            </m:ctrlPr>
          </m:sSubPr>
          <m:e>
            <m:r>
              <w:rPr>
                <w:rFonts w:ascii="Cambria Math" w:hAnsi="Cambria Math"/>
              </w:rPr>
              <m:t>B</m:t>
            </m:r>
          </m:e>
          <m:sub>
            <m:r>
              <w:rPr>
                <w:rFonts w:ascii="Cambria Math" w:hAnsi="Cambria Math"/>
              </w:rPr>
              <m:t>y</m:t>
            </m:r>
          </m:sub>
        </m:sSub>
      </m:oMath>
      <w:r w:rsidRPr="003A652D">
        <w:t>) configuration at the higher field level is sufficient to measure the vertical polarization component (</w:t>
      </w:r>
      <m:oMath>
        <m:sSub>
          <m:sSubPr>
            <m:ctrlPr>
              <w:rPr>
                <w:rFonts w:ascii="Cambria Math" w:hAnsi="Cambria Math"/>
              </w:rPr>
            </m:ctrlPr>
          </m:sSubPr>
          <m:e>
            <m:r>
              <w:rPr>
                <w:rFonts w:ascii="Cambria Math" w:hAnsi="Cambria Math"/>
              </w:rPr>
              <m:t>P</m:t>
            </m:r>
          </m:e>
          <m:sub>
            <m:r>
              <w:rPr>
                <w:rFonts w:ascii="Cambria Math" w:hAnsi="Cambria Math"/>
              </w:rPr>
              <m:t>y</m:t>
            </m:r>
          </m:sub>
        </m:sSub>
      </m:oMath>
      <w:r w:rsidRPr="003A652D">
        <w:t xml:space="preserve">); however, the mechanical and magnetic layout should already be prepared for a later upgrade to a fully flexible vector guide-field system providing switchable </w:t>
      </w:r>
      <m:oMath>
        <m:acc>
          <m:accPr>
            <m:chr m:val="⃗"/>
            <m:ctrlPr>
              <w:rPr>
                <w:rFonts w:ascii="Cambria Math" w:hAnsi="Cambria Math"/>
              </w:rPr>
            </m:ctrlPr>
          </m:accPr>
          <m:e>
            <m:r>
              <w:rPr>
                <w:rFonts w:ascii="Cambria Math" w:hAnsi="Cambria Math"/>
              </w:rPr>
              <m:t>B</m:t>
            </m:r>
          </m:e>
        </m:acc>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y</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z</m:t>
            </m:r>
          </m:sub>
        </m:sSub>
        <m:r>
          <m:rPr>
            <m:sty m:val="p"/>
          </m:rPr>
          <w:rPr>
            <w:rFonts w:ascii="Cambria Math" w:hAnsi="Cambria Math"/>
          </w:rPr>
          <m:t>)</m:t>
        </m:r>
      </m:oMath>
      <w:r w:rsidRPr="003A652D">
        <w:t xml:space="preserve"> components, allowing rotation of the target quantization axis along any Cartesian direction.</w:t>
      </w:r>
    </w:p>
    <w:p w:rsidR="003A652D" w:rsidRDefault="003A652D" w:rsidP="003A652D">
      <w:pPr>
        <w:pStyle w:val="Body2"/>
      </w:pPr>
      <w:r w:rsidRPr="003A652D">
        <w:t xml:space="preserve">The detector system must also be modernized to accommodate bunch-by-bunch operation, with increased azimuthal acceptance and finer segmentation to preserve full recoil coverage and enable the separation of </w:t>
      </w:r>
      <m:oMath>
        <m:func>
          <m:funcPr>
            <m:ctrlPr>
              <w:rPr>
                <w:rFonts w:ascii="Cambria Math" w:hAnsi="Cambria Math"/>
              </w:rPr>
            </m:ctrlPr>
          </m:funcPr>
          <m:fName>
            <m:r>
              <m:rPr>
                <m:sty m:val="p"/>
              </m:rPr>
              <w:rPr>
                <w:rFonts w:ascii="Cambria Math" w:hAnsi="Cambria Math"/>
              </w:rPr>
              <m:t>sin</m:t>
            </m:r>
          </m:fName>
          <m:e>
            <m:r>
              <w:rPr>
                <w:rFonts w:ascii="Cambria Math" w:hAnsi="Cambria Math"/>
              </w:rPr>
              <m:t>φ</m:t>
            </m:r>
          </m:e>
        </m:func>
      </m:oMath>
      <w:r w:rsidRPr="003A652D">
        <w:t xml:space="preserve"> and </w:t>
      </w:r>
      <m:oMath>
        <m:func>
          <m:funcPr>
            <m:ctrlPr>
              <w:rPr>
                <w:rFonts w:ascii="Cambria Math" w:hAnsi="Cambria Math"/>
              </w:rPr>
            </m:ctrlPr>
          </m:funcPr>
          <m:fName>
            <m:r>
              <m:rPr>
                <m:sty m:val="p"/>
              </m:rPr>
              <w:rPr>
                <w:rFonts w:ascii="Cambria Math" w:hAnsi="Cambria Math"/>
              </w:rPr>
              <m:t>cos</m:t>
            </m:r>
          </m:fName>
          <m:e>
            <m:r>
              <w:rPr>
                <w:rFonts w:ascii="Cambria Math" w:hAnsi="Cambria Math"/>
              </w:rPr>
              <m:t>φ</m:t>
            </m:r>
          </m:e>
        </m:func>
      </m:oMath>
      <w:r w:rsidRPr="003A652D">
        <w:t xml:space="preserve"> harmonics at small momentum transfer (</w:t>
      </w:r>
      <m:oMath>
        <m:r>
          <m:rPr>
            <m:sty m:val="p"/>
          </m:rPr>
          <w:rPr>
            <w:rFonts w:ascii="Cambria Math" w:hAnsi="Cambria Math"/>
          </w:rPr>
          <m:t>|</m:t>
        </m:r>
        <m:r>
          <w:rPr>
            <w:rFonts w:ascii="Cambria Math" w:hAnsi="Cambria Math"/>
          </w:rPr>
          <m:t>t</m:t>
        </m:r>
        <m:r>
          <m:rPr>
            <m:sty m:val="p"/>
          </m:rPr>
          <w:rPr>
            <w:rFonts w:ascii="Cambria Math" w:hAnsi="Cambria Math"/>
          </w:rPr>
          <m:t>|</m:t>
        </m:r>
      </m:oMath>
      <w:r w:rsidRPr="003A652D">
        <w:t>). In parallel, the Breit-Rabi polarimeter will be upgraded with a quadrupole mass analyzer to continuously monitor the 3-4% molecular-hydrogen admixture, enabling accurate determination and correction in the polarization analysis of the resulting dilution. To integrate the stronger holding field, compensation coils, and associated services, the installation must include a pit of roughly three-quarters of a meter below the jet chamber. Collectively, these measures are expected to yield a statistical precision of about 3 % per 4-hour integration and an absolute systematic uncertainty better than 1 %, meeting the EIC performance goals.</w:t>
      </w:r>
    </w:p>
    <w:p w:rsidR="003A652D" w:rsidRDefault="003A652D" w:rsidP="003A652D">
      <w:pPr>
        <w:pStyle w:val="Body2"/>
      </w:pPr>
    </w:p>
    <w:p w:rsidR="003A652D" w:rsidRPr="003A652D" w:rsidRDefault="003A652D" w:rsidP="003A652D">
      <w:pPr>
        <w:pStyle w:val="Body2"/>
      </w:pPr>
      <w:r w:rsidRPr="00415D51">
        <w:rPr>
          <w:noProof/>
          <w:color w:val="0432FF"/>
        </w:rPr>
        <w:drawing>
          <wp:inline distT="0" distB="0" distL="0" distR="0" wp14:anchorId="3D85BE47" wp14:editId="4EE16DC1">
            <wp:extent cx="1920000" cy="1440000"/>
            <wp:effectExtent l="0" t="0" r="0" b="0"/>
            <wp:docPr id="16393"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 name="Picture 190" descr="RHIC_CNI_small"/>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20000" cy="1440000"/>
                    </a:xfrm>
                    <a:prstGeom prst="rect">
                      <a:avLst/>
                    </a:prstGeom>
                    <a:noFill/>
                    <a:ln w="9525">
                      <a:noFill/>
                      <a:miter lim="800000"/>
                      <a:headEnd/>
                      <a:tailEnd/>
                    </a:ln>
                  </pic:spPr>
                </pic:pic>
              </a:graphicData>
            </a:graphic>
          </wp:inline>
        </w:drawing>
      </w:r>
      <w:r w:rsidRPr="003A652D">
        <w:rPr>
          <w:noProof/>
          <w:color w:val="0432FF"/>
        </w:rPr>
        <w:t xml:space="preserve"> </w:t>
      </w:r>
      <w:r w:rsidRPr="00415D51">
        <w:rPr>
          <w:noProof/>
          <w:color w:val="0432FF"/>
        </w:rPr>
        <w:drawing>
          <wp:inline distT="0" distB="0" distL="0" distR="0" wp14:anchorId="684B2057" wp14:editId="25248FF6">
            <wp:extent cx="2072455" cy="1439640"/>
            <wp:effectExtent l="0" t="0" r="0" b="0"/>
            <wp:docPr id="62911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14708" name="Picture 629114708"/>
                    <pic:cNvPicPr/>
                  </pic:nvPicPr>
                  <pic:blipFill>
                    <a:blip r:embed="rId12">
                      <a:extLst>
                        <a:ext uri="{28A0092B-C50C-407E-A947-70E740481C1C}">
                          <a14:useLocalDpi xmlns:a14="http://schemas.microsoft.com/office/drawing/2010/main" val="0"/>
                        </a:ext>
                      </a:extLst>
                    </a:blip>
                    <a:stretch>
                      <a:fillRect/>
                    </a:stretch>
                  </pic:blipFill>
                  <pic:spPr>
                    <a:xfrm>
                      <a:off x="0" y="0"/>
                      <a:ext cx="2072455" cy="1439640"/>
                    </a:xfrm>
                    <a:prstGeom prst="rect">
                      <a:avLst/>
                    </a:prstGeom>
                  </pic:spPr>
                </pic:pic>
              </a:graphicData>
            </a:graphic>
          </wp:inline>
        </w:drawing>
      </w:r>
      <w:r w:rsidRPr="003A652D">
        <w:rPr>
          <w:noProof/>
          <w:sz w:val="20"/>
          <w:szCs w:val="20"/>
        </w:rPr>
        <w:t xml:space="preserve"> </w:t>
      </w:r>
      <w:r>
        <w:rPr>
          <w:noProof/>
          <w:sz w:val="20"/>
          <w:szCs w:val="20"/>
        </w:rPr>
        <w:drawing>
          <wp:inline distT="0" distB="0" distL="0" distR="0" wp14:anchorId="04BE27C4" wp14:editId="00908AC5">
            <wp:extent cx="1876425" cy="1454984"/>
            <wp:effectExtent l="0" t="0" r="0" b="0"/>
            <wp:docPr id="4" name="Picture 4"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82050089-5-2.pdf"/>
                    <pic:cNvPicPr/>
                  </pic:nvPicPr>
                  <pic:blipFill rotWithShape="1">
                    <a:blip r:embed="rId13" cstate="print">
                      <a:extLst>
                        <a:ext uri="{28A0092B-C50C-407E-A947-70E740481C1C}">
                          <a14:useLocalDpi xmlns:a14="http://schemas.microsoft.com/office/drawing/2010/main" val="0"/>
                        </a:ext>
                      </a:extLst>
                    </a:blip>
                    <a:srcRect t="8981" r="20097" b="11481"/>
                    <a:stretch/>
                  </pic:blipFill>
                  <pic:spPr bwMode="auto">
                    <a:xfrm>
                      <a:off x="0" y="0"/>
                      <a:ext cx="1899001" cy="1472489"/>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3A652D" w:rsidRDefault="003A652D" w:rsidP="003A652D">
      <w:pPr>
        <w:pStyle w:val="Figure"/>
        <w:framePr w:wrap="notBeside"/>
      </w:pPr>
      <w:r w:rsidRPr="003A652D">
        <w:t>One of the pC polarimeter vacuum chambers presently used in RHIC with in-beam target ladders installed inside the beam pipe. Two target holders that are moved horizontally and two are moved vertically; the chamber can hold 4 ×6 carbon-ribbon targets in total. One pC polarimeter will be place in IP4 of the HSR of EIC, and one in IP6 between the spin rotators.</w:t>
      </w:r>
    </w:p>
    <w:p w:rsidR="003A652D" w:rsidRPr="003A652D" w:rsidRDefault="003A652D" w:rsidP="003A652D">
      <w:pPr>
        <w:pStyle w:val="Body2"/>
        <w:rPr>
          <w:rStyle w:val="PageNumber"/>
        </w:rPr>
      </w:pPr>
    </w:p>
    <w:p w:rsidR="003A652D" w:rsidRDefault="003A652D" w:rsidP="003A652D">
      <w:pPr>
        <w:keepNext/>
        <w:jc w:val="center"/>
      </w:pPr>
      <w:r w:rsidRPr="00F21A73">
        <w:rPr>
          <w:rFonts w:ascii="Arial" w:hAnsi="Arial" w:cs="Arial"/>
          <w:noProof/>
        </w:rPr>
        <w:lastRenderedPageBreak/>
        <w:drawing>
          <wp:inline distT="0" distB="0" distL="0" distR="0" wp14:anchorId="6B0DF4DE" wp14:editId="1177D4FF">
            <wp:extent cx="1876425" cy="2514600"/>
            <wp:effectExtent l="0" t="0" r="3175" b="0"/>
            <wp:docPr id="16395"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 name="Picture 191"/>
                    <pic:cNvPicPr>
                      <a:picLocks noChangeAspect="1" noChangeArrowheads="1"/>
                    </pic:cNvPicPr>
                  </pic:nvPicPr>
                  <pic:blipFill>
                    <a:blip r:embed="rId14"/>
                    <a:srcRect/>
                    <a:stretch>
                      <a:fillRect/>
                    </a:stretch>
                  </pic:blipFill>
                  <pic:spPr bwMode="auto">
                    <a:xfrm>
                      <a:off x="0" y="0"/>
                      <a:ext cx="1876425" cy="2514600"/>
                    </a:xfrm>
                    <a:prstGeom prst="rect">
                      <a:avLst/>
                    </a:prstGeom>
                    <a:noFill/>
                    <a:ln w="9525">
                      <a:noFill/>
                      <a:miter lim="800000"/>
                      <a:headEnd/>
                      <a:tailEnd/>
                    </a:ln>
                  </pic:spPr>
                </pic:pic>
              </a:graphicData>
            </a:graphic>
          </wp:inline>
        </w:drawing>
      </w:r>
      <w:r>
        <w:rPr>
          <w:rFonts w:ascii="Arial" w:hAnsi="Arial" w:cs="Arial"/>
          <w:noProof/>
        </w:rPr>
        <w:drawing>
          <wp:inline distT="0" distB="0" distL="0" distR="0" wp14:anchorId="3D33074A" wp14:editId="69AB74C0">
            <wp:extent cx="2560030" cy="2551884"/>
            <wp:effectExtent l="0" t="0" r="5715" b="1270"/>
            <wp:docPr id="3"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AI-generated content may be incorrect."/>
                    <pic:cNvPicPr/>
                  </pic:nvPicPr>
                  <pic:blipFill rotWithShape="1">
                    <a:blip r:embed="rId15" cstate="print">
                      <a:extLst>
                        <a:ext uri="{28A0092B-C50C-407E-A947-70E740481C1C}">
                          <a14:useLocalDpi xmlns:a14="http://schemas.microsoft.com/office/drawing/2010/main" val="0"/>
                        </a:ext>
                      </a:extLst>
                    </a:blip>
                    <a:srcRect l="9574" r="3288"/>
                    <a:stretch/>
                  </pic:blipFill>
                  <pic:spPr bwMode="auto">
                    <a:xfrm>
                      <a:off x="0" y="0"/>
                      <a:ext cx="2601620" cy="2593341"/>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2E6CA8" w:rsidRDefault="003A652D" w:rsidP="003A652D">
      <w:pPr>
        <w:pStyle w:val="Figure"/>
        <w:framePr w:wrap="notBeside"/>
      </w:pPr>
      <w:bookmarkStart w:id="14" w:name="_Ref211849773"/>
      <w:r w:rsidRPr="002E6CA8">
        <w:t>Shown here is the RHIC HJET, which after modifications and upgrades, will be placed in IP4 of the HSR of EIC.</w:t>
      </w:r>
      <w:bookmarkEnd w:id="14"/>
    </w:p>
    <w:p w:rsidR="003A652D" w:rsidRPr="00800A3E" w:rsidRDefault="003A652D" w:rsidP="003A652D"/>
    <w:p w:rsidR="003A652D" w:rsidRPr="003A652D" w:rsidRDefault="003A652D" w:rsidP="003A652D">
      <w:pPr>
        <w:pStyle w:val="Body2"/>
      </w:pPr>
      <w:r w:rsidRPr="003A652D">
        <w:t xml:space="preserve">Measuring polarization of 3He beams additionally requires forward taggers to veto breakup of the He-3 in collisions with the H-Jet, and a dipole downstream of the H-jet to separate the breakup products: deuterons, protons and neutrons. A schematic description of the tagging setup is shown in </w:t>
      </w:r>
      <w:r w:rsidR="00381B59">
        <w:t>Figure 3</w:t>
      </w:r>
      <w:r w:rsidRPr="003A652D">
        <w:t>. The neutrons pass undeflected through the dipole; the protons and deuterons, with approximately 2/3 and 4/3 of the beam rigidity, respectively, follow different trajectories. Sufficient drift space after the dipole is required to allow placement of the taggers outside of the beampipe. An example dipole is the RHIC DX magnet. 6 m after the DX, the d, p and n would be separated from the beam by approximately 5, 7 and 15 cm, respectively.</w:t>
      </w:r>
    </w:p>
    <w:p w:rsidR="003A652D" w:rsidRDefault="003A652D" w:rsidP="003A652D"/>
    <w:p w:rsidR="003A652D" w:rsidRDefault="003A652D" w:rsidP="003A652D"/>
    <w:p w:rsidR="003A652D" w:rsidRDefault="003A652D" w:rsidP="003A652D"/>
    <w:p w:rsidR="003A652D" w:rsidRDefault="003A652D" w:rsidP="003A652D">
      <w:pPr>
        <w:keepNext/>
        <w:jc w:val="center"/>
      </w:pPr>
      <w:r>
        <w:rPr>
          <w:noProof/>
        </w:rPr>
        <w:drawing>
          <wp:inline distT="0" distB="0" distL="0" distR="0" wp14:anchorId="71AAE5E7" wp14:editId="4442CE4C">
            <wp:extent cx="3155056" cy="1620000"/>
            <wp:effectExtent l="0" t="0" r="0" b="5715"/>
            <wp:docPr id="5"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55056" cy="1620000"/>
                    </a:xfrm>
                    <a:prstGeom prst="rect">
                      <a:avLst/>
                    </a:prstGeom>
                    <a:ln>
                      <a:noFill/>
                    </a:ln>
                    <a:extLst>
                      <a:ext uri="{53640926-AAD7-44D8-BBD7-CCE9431645EC}">
                        <a14:shadowObscured xmlns:a14="http://schemas.microsoft.com/office/drawing/2010/main"/>
                      </a:ext>
                    </a:extLst>
                  </pic:spPr>
                </pic:pic>
              </a:graphicData>
            </a:graphic>
          </wp:inline>
        </w:drawing>
      </w:r>
    </w:p>
    <w:p w:rsidR="003A652D" w:rsidRPr="001005C7" w:rsidRDefault="003A652D" w:rsidP="003A652D">
      <w:pPr>
        <w:pStyle w:val="Figure"/>
        <w:framePr w:wrap="notBeside"/>
      </w:pPr>
      <w:r w:rsidRPr="001005C7">
        <w:t>Schematic setup of the forward tagging system to measure the He-3 breakup products d, p, and n.</w:t>
      </w:r>
    </w:p>
    <w:p w:rsidR="003A652D" w:rsidRDefault="003A652D" w:rsidP="003A652D"/>
    <w:p w:rsidR="003A652D" w:rsidRDefault="003A652D" w:rsidP="003A652D"/>
    <w:p w:rsidR="003A652D" w:rsidRPr="00490544" w:rsidRDefault="003A652D" w:rsidP="003A652D">
      <w:pPr>
        <w:pStyle w:val="Body2"/>
      </w:pPr>
      <w:r w:rsidRPr="00490544">
        <w:lastRenderedPageBreak/>
        <w:t xml:space="preserve">All beam polarimeters will be placed close to each other to minimize the beam spin rotations between the devices. </w:t>
      </w:r>
    </w:p>
    <w:p w:rsidR="003A652D" w:rsidRDefault="003A652D" w:rsidP="003A652D"/>
    <w:p w:rsidR="003A652D" w:rsidRDefault="003A652D" w:rsidP="003A652D">
      <w:pPr>
        <w:keepNext/>
      </w:pPr>
      <w:r>
        <w:rPr>
          <w:noProof/>
        </w:rPr>
        <w:drawing>
          <wp:inline distT="0" distB="0" distL="0" distR="0" wp14:anchorId="51F10B5B" wp14:editId="274D826B">
            <wp:extent cx="6578600" cy="1935480"/>
            <wp:effectExtent l="0" t="0" r="0" b="0"/>
            <wp:docPr id="10212487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248714" name="Picture 102124871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578600" cy="1935480"/>
                    </a:xfrm>
                    <a:prstGeom prst="rect">
                      <a:avLst/>
                    </a:prstGeom>
                  </pic:spPr>
                </pic:pic>
              </a:graphicData>
            </a:graphic>
          </wp:inline>
        </w:drawing>
      </w:r>
    </w:p>
    <w:p w:rsidR="003A652D" w:rsidRPr="00BA62CB" w:rsidRDefault="003A652D" w:rsidP="003A652D">
      <w:pPr>
        <w:pStyle w:val="Figure"/>
        <w:framePr w:wrap="notBeside"/>
      </w:pPr>
      <w:r w:rsidRPr="00BA62CB">
        <w:t xml:space="preserve">Hadron polarimetry instrumentation concentrated at Interaction Point 4 (IP4) of the EIC high-energy storage ring (HSR). From left to right along the beam direction (yellow arrow): CNI polarimeter; </w:t>
      </w:r>
      <w:r w:rsidRPr="00BA62CB">
        <w:rPr>
          <w:vertAlign w:val="superscript"/>
        </w:rPr>
        <w:t>3</w:t>
      </w:r>
      <w:r w:rsidRPr="00BA62CB">
        <w:t>He jet target; hydrogen-jet (HJET) polarimeter; two warm D0 dipoles; longitudinal superconducting pickup; four horizontal and four vertical superconducting kickers; HJET tagger drift/tagging system of length 8.0 m; vacuum/ion-pump section; and quadrupole Q4. Co-locating these devices in a single straight section provides shared infrastructure, common alignment, and efficient absolute/relative beam polarimetry, and minimizes spin rotations between polarimeters.</w:t>
      </w:r>
      <w:r>
        <w:t xml:space="preserve"> </w:t>
      </w:r>
    </w:p>
    <w:p w:rsidR="003A652D" w:rsidRDefault="003A652D" w:rsidP="003A652D"/>
    <w:p w:rsidR="003A652D" w:rsidRPr="003A652D" w:rsidRDefault="003A652D" w:rsidP="003A652D">
      <w:pPr>
        <w:pStyle w:val="Body2"/>
      </w:pPr>
      <w:r w:rsidRPr="003A652D">
        <w:t xml:space="preserve">At IP4, the counting house must be located within 100 m of the polarimeters (see </w:t>
      </w:r>
      <w:r w:rsidR="00381B59">
        <w:t>Figure 5</w:t>
      </w:r>
      <w:r w:rsidRPr="003A652D">
        <w:t>). The area should house operational equipment and slow-control systems - workstations, timing/trigger distribution, and detector front-end electronics - in temperature-controlled racks with clean power (UPS), network, and low-noise grounding. Route all cabling between the ring and counting house through enclosed, weather-protected pedestrian corridors. Provision cable trays and access pull points with adequate sizing margins to accommodate future system expansion and facilitate routine maintenance procedures.</w:t>
      </w:r>
    </w:p>
    <w:p w:rsidR="003A652D" w:rsidRDefault="003A652D" w:rsidP="003A652D"/>
    <w:p w:rsidR="003A652D" w:rsidRDefault="003A652D" w:rsidP="003A652D">
      <w:pPr>
        <w:keepNext/>
        <w:jc w:val="center"/>
      </w:pPr>
      <w:r>
        <w:rPr>
          <w:noProof/>
        </w:rPr>
        <w:lastRenderedPageBreak/>
        <w:drawing>
          <wp:inline distT="0" distB="0" distL="0" distR="0" wp14:anchorId="63910CF9" wp14:editId="4EAB9EF2">
            <wp:extent cx="3805737" cy="2519640"/>
            <wp:effectExtent l="0" t="0" r="4445" b="0"/>
            <wp:docPr id="11327641" name="Picture 5"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641" name="Picture 5" descr="Diagram&#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05737" cy="2519640"/>
                    </a:xfrm>
                    <a:prstGeom prst="rect">
                      <a:avLst/>
                    </a:prstGeom>
                  </pic:spPr>
                </pic:pic>
              </a:graphicData>
            </a:graphic>
          </wp:inline>
        </w:drawing>
      </w:r>
    </w:p>
    <w:p w:rsidR="003A652D" w:rsidRPr="007B7FF3" w:rsidRDefault="003A652D" w:rsidP="003A652D">
      <w:pPr>
        <w:pStyle w:val="Figure"/>
        <w:framePr w:wrap="notBeside"/>
      </w:pPr>
      <w:r w:rsidRPr="007B7FF3">
        <w:t>Counting house within 100 m of the IP4 polarimeters; hosts operations and slow-control (workstations, timing/trigger, front-end) in temperature-controlled racks with clean power/network/grounding, and uses enclosed, weather-protected cable routing with trays/pull points for future upgrades.</w:t>
      </w:r>
    </w:p>
    <w:p w:rsidR="007A0EA6" w:rsidRPr="007A0EA6" w:rsidRDefault="007A0EA6" w:rsidP="00F63229">
      <w:pPr>
        <w:pStyle w:val="Heading2"/>
      </w:pPr>
      <w:bookmarkStart w:id="15" w:name="_Toc234935975"/>
      <w:r w:rsidRPr="007A0EA6">
        <w:t>Overview of Interface Relationships</w:t>
      </w:r>
      <w:bookmarkEnd w:id="13"/>
      <w:bookmarkEnd w:id="15"/>
    </w:p>
    <w:p w:rsidR="00542A44" w:rsidRDefault="000D7CAC" w:rsidP="00D5795A">
      <w:pPr>
        <w:pStyle w:val="Body2"/>
      </w:pPr>
      <w:r>
        <w:t xml:space="preserve">The following are the </w:t>
      </w:r>
      <w:r w:rsidR="00121CD0">
        <w:t xml:space="preserve">sub-systems within the </w:t>
      </w:r>
      <w:r w:rsidR="00542A44">
        <w:t>Collider Hadron Storage Ring</w:t>
      </w:r>
      <w:r w:rsidR="00121CD0">
        <w:t xml:space="preserve"> </w:t>
      </w:r>
      <w:r>
        <w:t>that have interfaces connected to th</w:t>
      </w:r>
      <w:r w:rsidR="002F05CC">
        <w:t>e</w:t>
      </w:r>
      <w:r>
        <w:t xml:space="preserve"> </w:t>
      </w:r>
      <w:r w:rsidR="00542A44">
        <w:t>Hadron Polarimetry Systems</w:t>
      </w:r>
      <w:r>
        <w:t>.</w:t>
      </w:r>
    </w:p>
    <w:p w:rsidR="00542A44" w:rsidRPr="00542A44" w:rsidRDefault="00542A44" w:rsidP="00542A44">
      <w:pPr>
        <w:pStyle w:val="Body2Bulleted"/>
      </w:pPr>
      <w:r w:rsidRPr="00542A44">
        <w:rPr>
          <w:rStyle w:val="Strong"/>
        </w:rPr>
        <w:t xml:space="preserve">Collider Hadron Storage Ring (COL-HSR): </w:t>
      </w:r>
      <w:r w:rsidRPr="00542A44">
        <w:t>Identify the general types of interface relationships between the ICD reference system and this sub-system.</w:t>
      </w:r>
    </w:p>
    <w:p w:rsidR="007A0EA6" w:rsidRPr="007A0EA6" w:rsidRDefault="007A0EA6" w:rsidP="00F63229">
      <w:pPr>
        <w:pStyle w:val="Heading2"/>
      </w:pPr>
      <w:bookmarkStart w:id="16" w:name="InterfaceRelationships"/>
      <w:bookmarkStart w:id="17" w:name="_Toc137386897"/>
      <w:bookmarkStart w:id="18" w:name="_Toc234935976"/>
      <w:bookmarkEnd w:id="16"/>
      <w:r w:rsidRPr="007A0EA6">
        <w:t>Safety and Environmental Considerations</w:t>
      </w:r>
      <w:bookmarkEnd w:id="17"/>
      <w:bookmarkEnd w:id="18"/>
    </w:p>
    <w:p w:rsidR="002970D7" w:rsidRDefault="002970D7" w:rsidP="00D75D53">
      <w:pPr>
        <w:pStyle w:val="Body2"/>
        <w:rPr>
          <w:color w:val="auto"/>
        </w:rPr>
      </w:pPr>
      <w:r>
        <w:rPr>
          <w:color w:val="auto"/>
        </w:rPr>
        <w:t xml:space="preserve">General safety and environmental considerations are identified here. Any considerations that are specific to the individual sub-system, will be addressed in external safety documents and are referenced here. </w:t>
      </w:r>
    </w:p>
    <w:p w:rsidR="002970D7" w:rsidRDefault="002970D7" w:rsidP="002970D7">
      <w:pPr>
        <w:pStyle w:val="Heading3"/>
      </w:pPr>
      <w:r>
        <w:t>Considerations for all systems</w:t>
      </w:r>
    </w:p>
    <w:p w:rsidR="00575EA1" w:rsidRPr="00575EA1" w:rsidRDefault="00575EA1" w:rsidP="00575EA1">
      <w:pPr>
        <w:pStyle w:val="Body3"/>
      </w:pPr>
      <w:r w:rsidRPr="00575EA1">
        <w:t>General environment, safety and health requirements at BNL are contained in four (4) primary source documents:</w:t>
      </w:r>
    </w:p>
    <w:p w:rsidR="00575EA1" w:rsidRPr="00575EA1" w:rsidRDefault="00575EA1" w:rsidP="00575EA1">
      <w:pPr>
        <w:pStyle w:val="Body3Bulleted"/>
      </w:pPr>
      <w:r w:rsidRPr="00575EA1">
        <w:t>EIC Hazard Analysis Report - Identifies hazards, hazardous situations, and preventative and mitigative controls</w:t>
      </w:r>
    </w:p>
    <w:p w:rsidR="00575EA1" w:rsidRPr="00575EA1" w:rsidRDefault="00575EA1" w:rsidP="00575EA1">
      <w:pPr>
        <w:pStyle w:val="Body3Bulleted"/>
      </w:pPr>
      <w:r w:rsidRPr="00575EA1">
        <w:t>EIC Code of Record - Design and construction requirements flow down from 10CFR851, BNL’s Worker Safety &amp; Health Plan, and BNL’s SBMS (Standards-Based Management System)</w:t>
      </w:r>
    </w:p>
    <w:p w:rsidR="00575EA1" w:rsidRPr="00575EA1" w:rsidRDefault="00575EA1" w:rsidP="00575EA1">
      <w:pPr>
        <w:pStyle w:val="Body3Bulleted"/>
      </w:pPr>
      <w:r w:rsidRPr="00575EA1">
        <w:t>EIC Integrated Safety Management Plan - Core functions and guiding principles are incorporated into EIC project processes</w:t>
      </w:r>
    </w:p>
    <w:p w:rsidR="00575EA1" w:rsidRPr="00575EA1" w:rsidRDefault="00575EA1" w:rsidP="00575EA1">
      <w:pPr>
        <w:pStyle w:val="Body3Bulleted"/>
      </w:pPr>
      <w:r w:rsidRPr="00575EA1">
        <w:t xml:space="preserve">SBMS - All experimental work will be conducted in accordance with Work Planning and Control for Experiments and Operations, which ensures proper design and operation of all experiments prior to </w:t>
      </w:r>
      <w:r w:rsidRPr="00575EA1">
        <w:lastRenderedPageBreak/>
        <w:t>their commencement. Work Planning &amp; Control for Experiments and Operations use the SBMS provided standard forms for the formal documentation.</w:t>
      </w:r>
    </w:p>
    <w:p w:rsidR="002970D7" w:rsidRDefault="002970D7" w:rsidP="002970D7">
      <w:pPr>
        <w:pStyle w:val="Heading3"/>
      </w:pPr>
      <w:r>
        <w:t>Special considerations and references</w:t>
      </w:r>
    </w:p>
    <w:p w:rsidR="00575EA1" w:rsidRPr="00575EA1" w:rsidRDefault="00575EA1" w:rsidP="00575EA1">
      <w:pPr>
        <w:pStyle w:val="Body3"/>
      </w:pPr>
      <w:bookmarkStart w:id="19" w:name="_Toc137386898"/>
      <w:r w:rsidRPr="00575EA1">
        <w:t>Given the BNL-JLAB partnership towards EIC, supplemental EIC/JLAB MOUs exist for equipment designed, fabricated, or procured by JLAB covering:</w:t>
      </w:r>
    </w:p>
    <w:p w:rsidR="00575EA1" w:rsidRPr="00575EA1" w:rsidRDefault="00575EA1" w:rsidP="00575EA1">
      <w:pPr>
        <w:pStyle w:val="Body3Bulleted"/>
      </w:pPr>
      <w:r w:rsidRPr="00575EA1">
        <w:t>Pressure System Program Integration - Documents agreement to use the TJNAF Pressure System Program for pressure systems, subsystems, and components designed, procured, or fabricated at JLAB and delivered to BNL.</w:t>
      </w:r>
    </w:p>
    <w:p w:rsidR="00575EA1" w:rsidRPr="00575EA1" w:rsidRDefault="00575EA1" w:rsidP="00575EA1">
      <w:pPr>
        <w:pStyle w:val="Body3Bulleted"/>
      </w:pPr>
      <w:r w:rsidRPr="00575EA1">
        <w:t>Non-NRTL Electrical Equipment Transfer - Defines the process for transferring Non-NRTL electrical equipment designed and/or fabricated on behalf of or at JLAB to BNL.</w:t>
      </w:r>
    </w:p>
    <w:p w:rsidR="00575EA1" w:rsidRPr="00575EA1" w:rsidRDefault="00575EA1" w:rsidP="00575EA1">
      <w:pPr>
        <w:pStyle w:val="Body3"/>
      </w:pPr>
      <w:r w:rsidRPr="00575EA1">
        <w:t>References:</w:t>
      </w:r>
    </w:p>
    <w:p w:rsidR="00575EA1" w:rsidRPr="00575EA1" w:rsidRDefault="00575EA1" w:rsidP="00575EA1">
      <w:pPr>
        <w:pStyle w:val="Body3"/>
      </w:pPr>
      <w:r w:rsidRPr="00575EA1">
        <w:t xml:space="preserve">“EIC Code of Record” Document number: EIC-ORG-RSI-026 </w:t>
      </w:r>
    </w:p>
    <w:p w:rsidR="00575EA1" w:rsidRPr="00575EA1" w:rsidRDefault="00575EA1" w:rsidP="00575EA1">
      <w:pPr>
        <w:pStyle w:val="Body3"/>
        <w:rPr>
          <w:rFonts w:eastAsia="SimSun" w:cs="Times New Roman"/>
          <w:b/>
          <w:iCs/>
          <w:color w:val="auto"/>
          <w:lang w:bidi="ar-SA"/>
        </w:rPr>
      </w:pPr>
      <w:r w:rsidRPr="00575EA1">
        <w:t>“EIC Integrated Safety Management Plan” Document number: EIC-ESH-PLN-007</w:t>
      </w:r>
    </w:p>
    <w:p w:rsidR="007A0EA6" w:rsidRPr="007A0EA6" w:rsidRDefault="007A0EA6" w:rsidP="00575EA1">
      <w:pPr>
        <w:pStyle w:val="Heading2"/>
      </w:pPr>
      <w:bookmarkStart w:id="20" w:name="_Toc234935977"/>
      <w:r w:rsidRPr="007A0EA6">
        <w:t>Design Considerations</w:t>
      </w:r>
      <w:bookmarkEnd w:id="19"/>
      <w:bookmarkEnd w:id="20"/>
    </w:p>
    <w:p w:rsidR="000D7CAC" w:rsidRPr="00434661" w:rsidRDefault="00575EA1" w:rsidP="000D7CAC">
      <w:pPr>
        <w:pStyle w:val="Body2"/>
        <w:rPr>
          <w:color w:val="auto"/>
        </w:rPr>
      </w:pPr>
      <w:bookmarkStart w:id="21" w:name="_Toc137386899"/>
      <w:r w:rsidRPr="00575EA1">
        <w:rPr>
          <w:color w:val="auto"/>
        </w:rPr>
        <w:t>The physics program of EIC requires polarization of proton and light-ion beams in both longitudinal (along the beam direction) and transverse direction. Measuring polarization requires high precision polarimetry. With depolarizing effects affecting polarization preservation from injection to storage, the hadron beam polarization must be measured in situ in the hadron storage ring (HSR) of the EIC. This entails the requirement for absolute polarimetry, for fast polarimetry to enable relative polarization measurements for monitoring and determining the polarization profile as well as the polarization lifetime through a fill, and for local polarimetry in the interaction between the spin rotators to measure the spin orientation in the transverse (x,y-plane) at the main detector.</w:t>
      </w:r>
    </w:p>
    <w:p w:rsidR="007A0EA6" w:rsidRPr="007A0EA6" w:rsidRDefault="007A0EA6" w:rsidP="00F63229">
      <w:pPr>
        <w:pStyle w:val="Heading2"/>
      </w:pPr>
      <w:bookmarkStart w:id="22" w:name="_Toc234935978"/>
      <w:r w:rsidRPr="007A0EA6">
        <w:t>Organization</w:t>
      </w:r>
      <w:bookmarkEnd w:id="21"/>
      <w:bookmarkEnd w:id="22"/>
      <w:r w:rsidRPr="007A0EA6">
        <w:t xml:space="preserve"> </w:t>
      </w:r>
    </w:p>
    <w:p w:rsidR="0031086F" w:rsidRPr="000D7CAC" w:rsidRDefault="0031086F" w:rsidP="007A0EA6">
      <w:pPr>
        <w:pStyle w:val="Body2"/>
        <w:rPr>
          <w:color w:val="auto"/>
        </w:rPr>
      </w:pPr>
      <w:r w:rsidRPr="000D7CAC">
        <w:rPr>
          <w:color w:val="auto"/>
        </w:rPr>
        <w:t xml:space="preserve">The interfaces in this document are grouped by sub-system as identified in the sub-system identifier. All interfaces between the </w:t>
      </w:r>
      <w:r w:rsidR="00542A44">
        <w:rPr>
          <w:color w:val="auto"/>
        </w:rPr>
        <w:t>Hadron Polarimetry Systems</w:t>
      </w:r>
      <w:r w:rsidR="002F05CC">
        <w:rPr>
          <w:color w:val="auto"/>
        </w:rPr>
        <w:t xml:space="preserve"> </w:t>
      </w:r>
      <w:r w:rsidR="00BA1063">
        <w:rPr>
          <w:color w:val="auto"/>
        </w:rPr>
        <w:t xml:space="preserve">and a </w:t>
      </w:r>
      <w:r w:rsidRPr="000D7CAC">
        <w:rPr>
          <w:color w:val="auto"/>
        </w:rPr>
        <w:t>related sub-system will be included in a single section.</w:t>
      </w:r>
      <w:r w:rsidR="00D51AFC">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23" w:name="_Toc137386759"/>
      <w:bookmarkStart w:id="24" w:name="_Toc137386900"/>
      <w:bookmarkStart w:id="25" w:name="_Toc234935979"/>
      <w:r w:rsidRPr="007A0EA6">
        <w:t>Interface summary</w:t>
      </w:r>
      <w:bookmarkEnd w:id="23"/>
      <w:bookmarkEnd w:id="24"/>
      <w:bookmarkEnd w:id="25"/>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542A44"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542A44" w:rsidRDefault="00542A44" w:rsidP="00542A44">
      <w:pPr>
        <w:pStyle w:val="TableNumber"/>
      </w:pPr>
      <w:r>
        <w:lastRenderedPageBreak/>
        <w:t>Hadron Polarimetry Systems to Collider Hadron Storage Ring</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542A44" w:rsidTr="00542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Section</w:t>
            </w:r>
          </w:p>
        </w:tc>
        <w:tc>
          <w:tcPr>
            <w:tcW w:w="1337"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542A44" w:rsidRDefault="00542A44" w:rsidP="00542A44">
            <w:pPr>
              <w:pStyle w:val="TableEntry"/>
              <w:cnfStyle w:val="100000000000" w:firstRow="1" w:lastRow="0" w:firstColumn="0" w:lastColumn="0" w:oddVBand="0" w:evenVBand="0" w:oddHBand="0" w:evenHBand="0" w:firstRowFirstColumn="0" w:firstRowLastColumn="0" w:lastRowFirstColumn="0" w:lastRowLastColumn="0"/>
            </w:pPr>
            <w:r>
              <w:t>Owner</w:t>
            </w:r>
          </w:p>
        </w:tc>
      </w:tr>
      <w:tr w:rsidR="00542A44" w:rsidTr="00542A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4</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Collider Hadron Storage Ring</w:t>
            </w:r>
          </w:p>
        </w:tc>
        <w:tc>
          <w:tcPr>
            <w:tcW w:w="1338"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p>
        </w:tc>
      </w:tr>
      <w:tr w:rsidR="00542A44" w:rsidTr="00542A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4.1</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I-DET-POL-HPOL-HJET.001</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Vacuum Interlock HJET</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The HJET target system needs to be integrated into the HSR vacuum interlock system.</w:t>
            </w:r>
          </w:p>
        </w:tc>
        <w:tc>
          <w:tcPr>
            <w:tcW w:w="1338"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6.03.11.02.01</w:t>
            </w:r>
          </w:p>
        </w:tc>
      </w:tr>
      <w:tr w:rsidR="00542A44" w:rsidTr="00542A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4.2</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6.03.11.02</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I-DET-POL-HPOL-HJET.002</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Vacuum Separation HJET</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HJET target must be able to be closed off from HSR vacuum during warm-up of cold nozzle (regular maintenance operation)</w:t>
            </w:r>
          </w:p>
        </w:tc>
        <w:tc>
          <w:tcPr>
            <w:tcW w:w="1338"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6.03.11.02.01</w:t>
            </w:r>
          </w:p>
        </w:tc>
      </w:tr>
      <w:tr w:rsidR="00542A44" w:rsidTr="00542A4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4.3</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6.03.11.02</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6.05.04</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I-DET-POL-HPOL-PC-IR4.001</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Vacuum Separation IR-4</w:t>
            </w:r>
          </w:p>
        </w:tc>
        <w:tc>
          <w:tcPr>
            <w:tcW w:w="1337"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Accessibility for target replacement during maintenance time (vacuum separation)</w:t>
            </w:r>
          </w:p>
        </w:tc>
        <w:tc>
          <w:tcPr>
            <w:tcW w:w="1338" w:type="dxa"/>
          </w:tcPr>
          <w:p w:rsidR="00542A44" w:rsidRDefault="00542A44" w:rsidP="00542A44">
            <w:pPr>
              <w:pStyle w:val="TableEntry"/>
              <w:cnfStyle w:val="000000010000" w:firstRow="0" w:lastRow="0" w:firstColumn="0" w:lastColumn="0" w:oddVBand="0" w:evenVBand="0" w:oddHBand="0" w:evenHBand="1" w:firstRowFirstColumn="0" w:firstRowLastColumn="0" w:lastRowFirstColumn="0" w:lastRowLastColumn="0"/>
            </w:pPr>
            <w:r>
              <w:t>6.03.11.02.02</w:t>
            </w:r>
          </w:p>
        </w:tc>
      </w:tr>
      <w:tr w:rsidR="00542A44" w:rsidTr="00542A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542A44" w:rsidRDefault="00542A44" w:rsidP="00542A44">
            <w:pPr>
              <w:pStyle w:val="TableEntry"/>
            </w:pPr>
            <w:r>
              <w:t>4.4</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6.03.11.02</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6.05.04</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I-DET-POL-HPOL-PC-IR6.001</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Vacuum Separation IR-6</w:t>
            </w:r>
          </w:p>
        </w:tc>
        <w:tc>
          <w:tcPr>
            <w:tcW w:w="1337"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Accessibility for target replacement during maintenance time (vacuum separation)</w:t>
            </w:r>
          </w:p>
        </w:tc>
        <w:tc>
          <w:tcPr>
            <w:tcW w:w="1338" w:type="dxa"/>
          </w:tcPr>
          <w:p w:rsidR="00542A44" w:rsidRDefault="00542A44" w:rsidP="00542A44">
            <w:pPr>
              <w:pStyle w:val="TableEntry"/>
              <w:cnfStyle w:val="000000100000" w:firstRow="0" w:lastRow="0" w:firstColumn="0" w:lastColumn="0" w:oddVBand="0" w:evenVBand="0" w:oddHBand="1" w:evenHBand="0" w:firstRowFirstColumn="0" w:firstRowLastColumn="0" w:lastRowFirstColumn="0" w:lastRowLastColumn="0"/>
            </w:pPr>
            <w:r>
              <w:t>6.03.11.02.02</w:t>
            </w:r>
          </w:p>
        </w:tc>
      </w:tr>
    </w:tbl>
    <w:p w:rsidR="007A0EA6" w:rsidRDefault="007A0EA6" w:rsidP="00542A44">
      <w:pPr>
        <w:pStyle w:val="TableEntry"/>
      </w:pPr>
    </w:p>
    <w:p w:rsidR="00542A44" w:rsidRDefault="00542A44" w:rsidP="00833E3A">
      <w:bookmarkStart w:id="26" w:name="InterfaceSummary"/>
      <w:bookmarkEnd w:id="26"/>
    </w:p>
    <w:p w:rsidR="00542A44" w:rsidRDefault="00542A44" w:rsidP="00542A44">
      <w:pPr>
        <w:pStyle w:val="Heading1"/>
      </w:pPr>
      <w:bookmarkStart w:id="27" w:name="_Toc234935980"/>
      <w:r>
        <w:t>Hadron Polarimetry Systems (DET-POL-HPOL) to Collider Hadron Storage Ring (COL-HSR)</w:t>
      </w:r>
      <w:bookmarkEnd w:id="27"/>
    </w:p>
    <w:p w:rsidR="00542A44" w:rsidRDefault="00542A44" w:rsidP="00542A44">
      <w:pPr>
        <w:pStyle w:val="InterfaceHeading2"/>
      </w:pPr>
      <w:r>
        <w:t>I-DET-POL-HPOL-HJET.001</w:t>
      </w:r>
      <w:r>
        <w:tab/>
        <w:t>Vacuum Interlock HJET</w:t>
      </w:r>
    </w:p>
    <w:p w:rsidR="00542A44" w:rsidRDefault="00542A44" w:rsidP="00542A44">
      <w:pPr>
        <w:pStyle w:val="InterfaceDetail"/>
      </w:pPr>
      <w:r>
        <w:t>System 1:</w:t>
      </w:r>
      <w:r>
        <w:tab/>
        <w:t>HJET Polarimetery (6.03.11.02.01)</w:t>
      </w:r>
    </w:p>
    <w:p w:rsidR="00542A44" w:rsidRDefault="00542A44" w:rsidP="00542A44">
      <w:pPr>
        <w:pStyle w:val="InterfaceDetail"/>
      </w:pPr>
      <w:r>
        <w:t>System 2:</w:t>
      </w:r>
      <w:r>
        <w:tab/>
        <w:t>Collider Hadron Storage Ring (6.05.04)</w:t>
      </w:r>
    </w:p>
    <w:p w:rsidR="00542A44" w:rsidRDefault="00542A44" w:rsidP="00542A44">
      <w:pPr>
        <w:pStyle w:val="InterfaceDetail"/>
      </w:pPr>
      <w:r>
        <w:t>Type:</w:t>
      </w:r>
      <w:r>
        <w:tab/>
        <w:t>VAC</w:t>
      </w:r>
    </w:p>
    <w:p w:rsidR="00542A44" w:rsidRDefault="00542A44" w:rsidP="00542A44">
      <w:pPr>
        <w:pStyle w:val="InterfaceDetail"/>
      </w:pPr>
      <w:r>
        <w:t>Description:</w:t>
      </w:r>
      <w:r>
        <w:tab/>
        <w:t>The HJET target system needs to be integrated into the HSR vacuum interlock system.</w:t>
      </w:r>
    </w:p>
    <w:p w:rsidR="00542A44" w:rsidRDefault="00542A44" w:rsidP="00542A44">
      <w:pPr>
        <w:pStyle w:val="InterfaceDetail"/>
      </w:pPr>
      <w:r>
        <w:t>Provider:</w:t>
      </w:r>
      <w:r>
        <w:tab/>
        <w:t>HJET Polarimetery (6.03.11.02.01)</w:t>
      </w:r>
    </w:p>
    <w:p w:rsidR="00542A44" w:rsidRPr="00542A44" w:rsidRDefault="00542A44" w:rsidP="00542A44">
      <w:pPr>
        <w:pStyle w:val="InterfaceDetail"/>
      </w:pPr>
      <w:r>
        <w:t>Details:</w:t>
      </w:r>
      <w:r>
        <w:tab/>
      </w:r>
      <w:r w:rsidRPr="00542A44">
        <w:rPr>
          <w:i/>
        </w:rPr>
        <w:t>See details in the Polarimetry Interface Control Document.</w:t>
      </w:r>
    </w:p>
    <w:p w:rsidR="00542A44" w:rsidRPr="00542A44" w:rsidRDefault="00542A44" w:rsidP="00542A44">
      <w:pPr>
        <w:pStyle w:val="InterfaceDetail"/>
      </w:pPr>
      <w:r w:rsidRPr="00542A44">
        <w:lastRenderedPageBreak/>
        <w:t>Requirements:</w:t>
      </w:r>
      <w:r w:rsidRPr="00542A44">
        <w:tab/>
        <w:t>P-DET-POL.1</w:t>
      </w:r>
    </w:p>
    <w:p w:rsidR="00542A44" w:rsidRPr="00542A44" w:rsidRDefault="00542A44" w:rsidP="00542A44">
      <w:pPr>
        <w:pStyle w:val="InterfaceDetail"/>
      </w:pPr>
      <w:r w:rsidRPr="00542A44">
        <w:t>References:</w:t>
      </w:r>
      <w:r w:rsidRPr="00542A44">
        <w:tab/>
      </w:r>
    </w:p>
    <w:p w:rsidR="00542A44" w:rsidRDefault="00542A44" w:rsidP="00542A44">
      <w:pPr>
        <w:pStyle w:val="InterfaceHeading2"/>
      </w:pPr>
      <w:r>
        <w:t>I-DET-POL-HPOL-HJET.002</w:t>
      </w:r>
      <w:r>
        <w:tab/>
        <w:t>Vacuum Separation HJET</w:t>
      </w:r>
    </w:p>
    <w:p w:rsidR="00542A44" w:rsidRDefault="00542A44" w:rsidP="00542A44">
      <w:pPr>
        <w:pStyle w:val="InterfaceDetail"/>
      </w:pPr>
      <w:r>
        <w:t>System 1:</w:t>
      </w:r>
      <w:r>
        <w:tab/>
        <w:t>HJET Polarimetery (6.03.11.02.01)</w:t>
      </w:r>
    </w:p>
    <w:p w:rsidR="00542A44" w:rsidRDefault="00542A44" w:rsidP="00542A44">
      <w:pPr>
        <w:pStyle w:val="InterfaceDetail"/>
      </w:pPr>
      <w:r>
        <w:t>System 2:</w:t>
      </w:r>
      <w:r>
        <w:tab/>
        <w:t>Collider Hadron Storage Ring (6.05.04)</w:t>
      </w:r>
    </w:p>
    <w:p w:rsidR="00542A44" w:rsidRDefault="00542A44" w:rsidP="00542A44">
      <w:pPr>
        <w:pStyle w:val="InterfaceDetail"/>
      </w:pPr>
      <w:r>
        <w:t>Type:</w:t>
      </w:r>
      <w:r>
        <w:tab/>
        <w:t>VAC</w:t>
      </w:r>
    </w:p>
    <w:p w:rsidR="00542A44" w:rsidRDefault="00542A44" w:rsidP="00542A44">
      <w:pPr>
        <w:pStyle w:val="InterfaceDetail"/>
      </w:pPr>
      <w:r>
        <w:t>Description:</w:t>
      </w:r>
      <w:r>
        <w:tab/>
        <w:t>HJET target must be able to be closed off from HSR vacuum during warm-up of cold nozzle (regular maintenance operation)</w:t>
      </w:r>
    </w:p>
    <w:p w:rsidR="00542A44" w:rsidRDefault="00542A44" w:rsidP="00542A44">
      <w:pPr>
        <w:pStyle w:val="InterfaceDetail"/>
      </w:pPr>
      <w:r>
        <w:t>Provider:</w:t>
      </w:r>
      <w:r>
        <w:tab/>
        <w:t>HJET Polarimetery (6.03.11.02.01)</w:t>
      </w:r>
    </w:p>
    <w:p w:rsidR="00542A44" w:rsidRPr="00542A44" w:rsidRDefault="00542A44" w:rsidP="00542A44">
      <w:pPr>
        <w:pStyle w:val="InterfaceDetail"/>
      </w:pPr>
      <w:r>
        <w:t>Details:</w:t>
      </w:r>
      <w:r>
        <w:tab/>
      </w:r>
      <w:r w:rsidRPr="00542A44">
        <w:rPr>
          <w:i/>
        </w:rPr>
        <w:t>See details in the Polarimetry Interface Control Document.</w:t>
      </w:r>
    </w:p>
    <w:p w:rsidR="00542A44" w:rsidRPr="00542A44" w:rsidRDefault="00542A44" w:rsidP="00542A44">
      <w:pPr>
        <w:pStyle w:val="InterfaceDetail"/>
      </w:pPr>
      <w:r w:rsidRPr="00542A44">
        <w:t>Requirements:</w:t>
      </w:r>
      <w:r w:rsidRPr="00542A44">
        <w:tab/>
        <w:t>P-DET-POL.1</w:t>
      </w:r>
    </w:p>
    <w:p w:rsidR="00542A44" w:rsidRPr="00542A44" w:rsidRDefault="00542A44" w:rsidP="00542A44">
      <w:pPr>
        <w:pStyle w:val="InterfaceDetail"/>
      </w:pPr>
      <w:r w:rsidRPr="00542A44">
        <w:t>References:</w:t>
      </w:r>
      <w:r w:rsidRPr="00542A44">
        <w:tab/>
      </w:r>
    </w:p>
    <w:p w:rsidR="00542A44" w:rsidRDefault="00542A44" w:rsidP="00542A44">
      <w:pPr>
        <w:pStyle w:val="InterfaceHeading2"/>
      </w:pPr>
      <w:r>
        <w:t>I-DET-POL-HPOL-PC-IR4.001</w:t>
      </w:r>
      <w:r>
        <w:tab/>
        <w:t>Vacuum Separation IR-4</w:t>
      </w:r>
    </w:p>
    <w:p w:rsidR="00542A44" w:rsidRDefault="00542A44" w:rsidP="00542A44">
      <w:pPr>
        <w:pStyle w:val="InterfaceDetail"/>
      </w:pPr>
      <w:r>
        <w:t>System 1:</w:t>
      </w:r>
      <w:r>
        <w:tab/>
        <w:t>Proton-Carbon Polarimeter in IR 4 (6.03.11.02.02)</w:t>
      </w:r>
    </w:p>
    <w:p w:rsidR="00542A44" w:rsidRDefault="00542A44" w:rsidP="00542A44">
      <w:pPr>
        <w:pStyle w:val="InterfaceDetail"/>
      </w:pPr>
      <w:r>
        <w:t>System 2:</w:t>
      </w:r>
      <w:r>
        <w:tab/>
        <w:t>Collider Hadron Storage Ring (6.05.04)</w:t>
      </w:r>
    </w:p>
    <w:p w:rsidR="00542A44" w:rsidRDefault="00542A44" w:rsidP="00542A44">
      <w:pPr>
        <w:pStyle w:val="InterfaceDetail"/>
      </w:pPr>
      <w:r>
        <w:t>Type:</w:t>
      </w:r>
      <w:r>
        <w:tab/>
        <w:t>VAC</w:t>
      </w:r>
    </w:p>
    <w:p w:rsidR="00542A44" w:rsidRDefault="00542A44" w:rsidP="00542A44">
      <w:pPr>
        <w:pStyle w:val="InterfaceDetail"/>
      </w:pPr>
      <w:r>
        <w:t>Description:</w:t>
      </w:r>
      <w:r>
        <w:tab/>
        <w:t>Accessibility for target replacement during maintenance time (vacuum separation)</w:t>
      </w:r>
    </w:p>
    <w:p w:rsidR="00542A44" w:rsidRDefault="00542A44" w:rsidP="00542A44">
      <w:pPr>
        <w:pStyle w:val="InterfaceDetail"/>
      </w:pPr>
      <w:r>
        <w:t>Provider:</w:t>
      </w:r>
      <w:r>
        <w:tab/>
        <w:t>Proton-Carbon Polarimeter in IR 4 (6.03.11.02.02)</w:t>
      </w:r>
    </w:p>
    <w:p w:rsidR="00542A44" w:rsidRPr="00542A44" w:rsidRDefault="00542A44" w:rsidP="00542A44">
      <w:pPr>
        <w:pStyle w:val="InterfaceDetail"/>
      </w:pPr>
      <w:r>
        <w:t>Details:</w:t>
      </w:r>
      <w:r>
        <w:tab/>
      </w:r>
      <w:r w:rsidRPr="00542A44">
        <w:rPr>
          <w:i/>
        </w:rPr>
        <w:t>See details in the Polarimetry Interface Control Document.</w:t>
      </w:r>
    </w:p>
    <w:p w:rsidR="00542A44" w:rsidRPr="00542A44" w:rsidRDefault="00542A44" w:rsidP="00542A44">
      <w:pPr>
        <w:pStyle w:val="InterfaceDetail"/>
      </w:pPr>
      <w:r w:rsidRPr="00542A44">
        <w:t>Requirements:</w:t>
      </w:r>
      <w:r w:rsidRPr="00542A44">
        <w:tab/>
        <w:t>P-DET-POL.1</w:t>
      </w:r>
    </w:p>
    <w:p w:rsidR="00542A44" w:rsidRPr="00542A44" w:rsidRDefault="00542A44" w:rsidP="00542A44">
      <w:pPr>
        <w:pStyle w:val="InterfaceDetail"/>
      </w:pPr>
      <w:r w:rsidRPr="00542A44">
        <w:t>References:</w:t>
      </w:r>
      <w:r w:rsidRPr="00542A44">
        <w:tab/>
      </w:r>
    </w:p>
    <w:p w:rsidR="00542A44" w:rsidRDefault="00542A44" w:rsidP="00542A44">
      <w:pPr>
        <w:pStyle w:val="InterfaceHeading2"/>
      </w:pPr>
      <w:r>
        <w:t>I-DET-POL-HPOL-PC-IR6.001</w:t>
      </w:r>
      <w:r>
        <w:tab/>
        <w:t>Vacuum Separation IR-6</w:t>
      </w:r>
    </w:p>
    <w:p w:rsidR="00542A44" w:rsidRDefault="00542A44" w:rsidP="00542A44">
      <w:pPr>
        <w:pStyle w:val="InterfaceDetail"/>
      </w:pPr>
      <w:r>
        <w:t>System 1:</w:t>
      </w:r>
      <w:r>
        <w:tab/>
        <w:t>Proton-Carbon Polarimeter in IR 6 (6.03.11.02.02)</w:t>
      </w:r>
    </w:p>
    <w:p w:rsidR="00542A44" w:rsidRDefault="00542A44" w:rsidP="00542A44">
      <w:pPr>
        <w:pStyle w:val="InterfaceDetail"/>
      </w:pPr>
      <w:r>
        <w:t>System 2:</w:t>
      </w:r>
      <w:r>
        <w:tab/>
        <w:t>Collider Hadron Storage Ring (6.05.04)</w:t>
      </w:r>
    </w:p>
    <w:p w:rsidR="00542A44" w:rsidRDefault="00542A44" w:rsidP="00542A44">
      <w:pPr>
        <w:pStyle w:val="InterfaceDetail"/>
      </w:pPr>
      <w:r>
        <w:t>Type:</w:t>
      </w:r>
      <w:r>
        <w:tab/>
        <w:t>VAC</w:t>
      </w:r>
    </w:p>
    <w:p w:rsidR="00542A44" w:rsidRDefault="00542A44" w:rsidP="00542A44">
      <w:pPr>
        <w:pStyle w:val="InterfaceDetail"/>
      </w:pPr>
      <w:r>
        <w:t>Description:</w:t>
      </w:r>
      <w:r>
        <w:tab/>
        <w:t>Accessibility for target replacement during maintenance time (vacuum separation)</w:t>
      </w:r>
    </w:p>
    <w:p w:rsidR="00542A44" w:rsidRDefault="00542A44" w:rsidP="00542A44">
      <w:pPr>
        <w:pStyle w:val="InterfaceDetail"/>
      </w:pPr>
      <w:r>
        <w:t>Provider:</w:t>
      </w:r>
      <w:r>
        <w:tab/>
        <w:t>Proton-Carbon Polarimeter in IR 6 (6.03.11.02.02)</w:t>
      </w:r>
    </w:p>
    <w:p w:rsidR="00542A44" w:rsidRPr="00542A44" w:rsidRDefault="00542A44" w:rsidP="00542A44">
      <w:pPr>
        <w:pStyle w:val="InterfaceDetail"/>
      </w:pPr>
      <w:r>
        <w:t>Details:</w:t>
      </w:r>
      <w:r>
        <w:tab/>
      </w:r>
      <w:r w:rsidRPr="00542A44">
        <w:rPr>
          <w:i/>
        </w:rPr>
        <w:t>See details in the Polarimetry Interface Control Document.</w:t>
      </w:r>
    </w:p>
    <w:p w:rsidR="00542A44" w:rsidRPr="00542A44" w:rsidRDefault="00542A44" w:rsidP="00542A44">
      <w:pPr>
        <w:pStyle w:val="InterfaceDetail"/>
      </w:pPr>
      <w:r w:rsidRPr="00542A44">
        <w:t>Requirements:</w:t>
      </w:r>
      <w:r w:rsidRPr="00542A44">
        <w:tab/>
        <w:t>P-DET-POL.1</w:t>
      </w:r>
    </w:p>
    <w:p w:rsidR="00542A44" w:rsidRPr="00542A44" w:rsidRDefault="00542A44" w:rsidP="00542A44">
      <w:pPr>
        <w:pStyle w:val="InterfaceDetail"/>
      </w:pPr>
      <w:r w:rsidRPr="00542A44">
        <w:t>References:</w:t>
      </w:r>
      <w:r w:rsidRPr="00542A44">
        <w:tab/>
      </w:r>
    </w:p>
    <w:p w:rsidR="00833E3A" w:rsidRDefault="00833E3A" w:rsidP="00542A44">
      <w:pPr>
        <w:pStyle w:val="InterfaceDetail"/>
      </w:pPr>
    </w:p>
    <w:p w:rsidR="00833E3A" w:rsidRPr="00833E3A" w:rsidRDefault="00833E3A" w:rsidP="00833E3A">
      <w:bookmarkStart w:id="28" w:name="InterfaceDetails"/>
      <w:bookmarkEnd w:id="28"/>
    </w:p>
    <w:p w:rsidR="007A0EA6" w:rsidRPr="007A0EA6" w:rsidRDefault="007A0EA6" w:rsidP="00245F70">
      <w:pPr>
        <w:pStyle w:val="Heading1"/>
      </w:pPr>
      <w:bookmarkStart w:id="29" w:name="_Toc137386761"/>
      <w:bookmarkStart w:id="30" w:name="_Toc137386903"/>
      <w:bookmarkStart w:id="31" w:name="_Toc234935981"/>
      <w:r w:rsidRPr="007A0EA6">
        <w:t>Applicable Documents</w:t>
      </w:r>
      <w:bookmarkEnd w:id="29"/>
      <w:bookmarkEnd w:id="30"/>
      <w:bookmarkEnd w:id="31"/>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32" w:name="_Toc137386762"/>
      <w:bookmarkStart w:id="33" w:name="_Toc137386904"/>
      <w:bookmarkStart w:id="34" w:name="_Toc234935982"/>
      <w:r w:rsidRPr="007A0EA6">
        <w:lastRenderedPageBreak/>
        <w:t>Detailed change Log</w:t>
      </w:r>
      <w:bookmarkEnd w:id="32"/>
      <w:bookmarkEnd w:id="33"/>
      <w:bookmarkEnd w:id="34"/>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35" w:name="_Toc234935983"/>
      <w:r>
        <w:t>References</w:t>
      </w:r>
      <w:bookmarkEnd w:id="35"/>
    </w:p>
    <w:p w:rsidR="007A0EA6" w:rsidRDefault="007A0EA6" w:rsidP="007A0EA6">
      <w:pPr>
        <w:pStyle w:val="ListofReferences"/>
        <w:numPr>
          <w:ilvl w:val="0"/>
          <w:numId w:val="15"/>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920310" w:rsidRPr="00E41820" w:rsidRDefault="00920310" w:rsidP="007A0EA6">
      <w:pPr>
        <w:pStyle w:val="ListofReferences"/>
        <w:numPr>
          <w:ilvl w:val="0"/>
          <w:numId w:val="15"/>
        </w:numPr>
        <w:ind w:left="360"/>
      </w:pPr>
      <w:r>
        <w:t>Office of Nuclear Physics, Mission Need Statement for the Electron Ion Collider</w:t>
      </w:r>
    </w:p>
    <w:p w:rsidR="00920310" w:rsidRDefault="00920310" w:rsidP="00920310">
      <w:pPr>
        <w:pStyle w:val="ListofReferences"/>
        <w:numPr>
          <w:ilvl w:val="0"/>
          <w:numId w:val="15"/>
        </w:numPr>
        <w:ind w:left="360"/>
      </w:pPr>
      <w:r w:rsidRPr="007306C4">
        <w:t>BNL-221006-2021-FORE, EIC Conceptual Design Report </w:t>
      </w:r>
    </w:p>
    <w:p w:rsidR="00920310" w:rsidRPr="006B30FA" w:rsidRDefault="00920310" w:rsidP="00920310">
      <w:pPr>
        <w:pStyle w:val="ListofReferences"/>
        <w:numPr>
          <w:ilvl w:val="0"/>
          <w:numId w:val="15"/>
        </w:numPr>
        <w:ind w:left="360"/>
      </w:pPr>
      <w:r w:rsidRPr="006B30FA">
        <w:t>arXiv:2103.05419</w:t>
      </w:r>
      <w:r>
        <w:t xml:space="preserve">, </w:t>
      </w:r>
      <w:r w:rsidRPr="006B30FA">
        <w:t>Science Requirements and Detector Concepts for the Electron-Ion Collider: EIC Yellow Report</w:t>
      </w:r>
    </w:p>
    <w:p w:rsidR="007A0EA6" w:rsidRDefault="007A0EA6" w:rsidP="007A0EA6">
      <w:pPr>
        <w:pStyle w:val="ListofReferences"/>
        <w:numPr>
          <w:ilvl w:val="0"/>
          <w:numId w:val="15"/>
        </w:numPr>
        <w:ind w:left="360"/>
      </w:pPr>
      <w:r w:rsidRPr="007306C4">
        <w:t>EIC-ORG-PLN-010, Electron-Ion Collider L1 Requirements (Global Requirements Document) </w:t>
      </w:r>
    </w:p>
    <w:p w:rsidR="00920310" w:rsidRPr="007306C4" w:rsidRDefault="00920310" w:rsidP="007A0EA6">
      <w:pPr>
        <w:pStyle w:val="ListofReferences"/>
        <w:numPr>
          <w:ilvl w:val="0"/>
          <w:numId w:val="15"/>
        </w:numPr>
        <w:ind w:left="360"/>
      </w:pPr>
      <w:r>
        <w:t>EIC-SEG-02-1, Requirements Management for Detector Systems</w:t>
      </w:r>
    </w:p>
    <w:p w:rsidR="00920310" w:rsidRDefault="00920310" w:rsidP="00920310">
      <w:pPr>
        <w:pStyle w:val="ListofReferences"/>
        <w:numPr>
          <w:ilvl w:val="0"/>
          <w:numId w:val="15"/>
        </w:numPr>
        <w:ind w:left="360"/>
      </w:pPr>
      <w:r w:rsidRPr="007306C4">
        <w:t>EIC-SEG-PLN-</w:t>
      </w:r>
      <w:r>
        <w:t>022</w:t>
      </w:r>
      <w:r w:rsidRPr="007306C4">
        <w:t xml:space="preserve">, Systems Engineering </w:t>
      </w:r>
      <w:r>
        <w:t xml:space="preserve">Management </w:t>
      </w:r>
      <w:r w:rsidRPr="007306C4">
        <w:t>Plan </w:t>
      </w:r>
    </w:p>
    <w:p w:rsidR="00920310" w:rsidRDefault="00920310" w:rsidP="007A0EA6">
      <w:pPr>
        <w:pStyle w:val="ListofReferences"/>
        <w:numPr>
          <w:ilvl w:val="0"/>
          <w:numId w:val="15"/>
        </w:numPr>
        <w:ind w:left="360"/>
      </w:pPr>
      <w:r>
        <w:t>EIC-SEG-04, Area Manager Responsibility</w:t>
      </w:r>
    </w:p>
    <w:p w:rsidR="007A0EA6" w:rsidRDefault="007A0EA6" w:rsidP="007A0EA6">
      <w:pPr>
        <w:pStyle w:val="ListofReferences"/>
        <w:numPr>
          <w:ilvl w:val="0"/>
          <w:numId w:val="15"/>
        </w:numPr>
        <w:ind w:left="360"/>
      </w:pPr>
      <w:r w:rsidRPr="007306C4">
        <w:t>EIC-SEG-PLN-020, EIC Interface Management Plan </w:t>
      </w:r>
    </w:p>
    <w:p w:rsidR="00920310" w:rsidRDefault="00920310" w:rsidP="007A0EA6">
      <w:pPr>
        <w:pStyle w:val="ListofReferences"/>
        <w:numPr>
          <w:ilvl w:val="0"/>
          <w:numId w:val="15"/>
        </w:numPr>
        <w:ind w:left="360"/>
      </w:pPr>
      <w:r>
        <w:t xml:space="preserve">TBD, </w:t>
      </w:r>
      <w:r w:rsidRPr="001518BD">
        <w:t>EIC MAD lattice files for beamline details</w:t>
      </w:r>
    </w:p>
    <w:p w:rsidR="00920310" w:rsidRPr="007306C4" w:rsidRDefault="00920310" w:rsidP="007A0EA6">
      <w:pPr>
        <w:pStyle w:val="ListofReferences"/>
        <w:numPr>
          <w:ilvl w:val="0"/>
          <w:numId w:val="15"/>
        </w:numPr>
        <w:ind w:left="360"/>
      </w:pPr>
      <w:r>
        <w:t xml:space="preserve">TBD, </w:t>
      </w:r>
      <w:r w:rsidRPr="00920310">
        <w:t>EIC Key Parameter tables</w:t>
      </w:r>
    </w:p>
    <w:p w:rsidR="00A100A8" w:rsidRPr="007A0EA6" w:rsidRDefault="00A100A8" w:rsidP="007A0EA6">
      <w:pPr>
        <w:pStyle w:val="Body2"/>
      </w:pPr>
    </w:p>
    <w:sectPr w:rsidR="00A100A8" w:rsidRPr="007A0EA6" w:rsidSect="00DC30BD">
      <w:headerReference w:type="default"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A44" w:rsidRDefault="00542A44" w:rsidP="006F08CB">
      <w:r>
        <w:separator/>
      </w:r>
    </w:p>
  </w:endnote>
  <w:endnote w:type="continuationSeparator" w:id="0">
    <w:p w:rsidR="00542A44" w:rsidRDefault="00542A44" w:rsidP="006F08CB">
      <w:r>
        <w:continuationSeparator/>
      </w:r>
    </w:p>
  </w:endnote>
  <w:endnote w:type="continuationNotice" w:id="1">
    <w:p w:rsidR="00542A44" w:rsidRDefault="00542A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081F9F" w:rsidRDefault="006B103A"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53173B" w:rsidRDefault="006B103A"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sidR="00414BA3">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sidR="00414BA3">
      <w:rPr>
        <w:rFonts w:cs="Times New Roman"/>
        <w:noProof/>
      </w:rPr>
      <w:t>7</w:t>
    </w:r>
    <w:r w:rsidRPr="00081F9F">
      <w:rPr>
        <w:rFonts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A44" w:rsidRDefault="00542A44" w:rsidP="006F08CB">
      <w:r>
        <w:separator/>
      </w:r>
    </w:p>
  </w:footnote>
  <w:footnote w:type="continuationSeparator" w:id="0">
    <w:p w:rsidR="00542A44" w:rsidRDefault="00542A44" w:rsidP="006F08CB">
      <w:r>
        <w:continuationSeparator/>
      </w:r>
    </w:p>
  </w:footnote>
  <w:footnote w:type="continuationNotice" w:id="1">
    <w:p w:rsidR="00542A44" w:rsidRDefault="00542A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Default="006B10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103A" w:rsidRPr="002E5DE2" w:rsidRDefault="006B103A"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6B103A" w:rsidRPr="00D922F4" w:rsidTr="00E444DD">
      <w:trPr>
        <w:jc w:val="center"/>
      </w:trPr>
      <w:tc>
        <w:tcPr>
          <w:tcW w:w="10195" w:type="dxa"/>
          <w:gridSpan w:val="4"/>
          <w:tcBorders>
            <w:bottom w:val="single" w:sz="4" w:space="0" w:color="000000" w:themeColor="text1"/>
          </w:tcBorders>
          <w:shd w:val="clear" w:color="auto" w:fill="auto"/>
          <w:vAlign w:val="center"/>
        </w:tcPr>
        <w:p w:rsidR="006B103A" w:rsidRPr="00D922F4" w:rsidRDefault="006B103A" w:rsidP="002E5DE2">
          <w:pPr>
            <w:pStyle w:val="HeaderCellCtr"/>
          </w:pPr>
          <w:r w:rsidRPr="00D922F4">
            <w:t>Electron-Ion Collider, Brookhaven National Laboratory</w:t>
          </w:r>
        </w:p>
      </w:tc>
    </w:tr>
    <w:tr w:rsidR="006B103A" w:rsidRPr="00D922F4" w:rsidTr="00E444DD">
      <w:trPr>
        <w:jc w:val="center"/>
      </w:trPr>
      <w:tc>
        <w:tcPr>
          <w:tcW w:w="3805"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6B103A" w:rsidRPr="00D922F4" w:rsidRDefault="006B103A"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6B103A" w:rsidRPr="00D922F4" w:rsidRDefault="006B103A" w:rsidP="002E5DE2">
          <w:pPr>
            <w:pStyle w:val="HeaderCell"/>
          </w:pPr>
          <w:r w:rsidRPr="00D922F4">
            <w:rPr>
              <w:rStyle w:val="Strong"/>
            </w:rPr>
            <w:t>Review Frequency:</w:t>
          </w:r>
          <w:r w:rsidRPr="00D922F4">
            <w:t xml:space="preserve"> </w:t>
          </w:r>
          <w:r w:rsidR="00A561E8">
            <w:t>N/A</w:t>
          </w:r>
        </w:p>
      </w:tc>
    </w:tr>
    <w:tr w:rsidR="006B103A" w:rsidRPr="00D922F4" w:rsidTr="00E444DD">
      <w:trPr>
        <w:jc w:val="center"/>
      </w:trPr>
      <w:tc>
        <w:tcPr>
          <w:tcW w:w="8068" w:type="dxa"/>
          <w:gridSpan w:val="3"/>
          <w:tcBorders>
            <w:top w:val="single" w:sz="4" w:space="0" w:color="000000" w:themeColor="text1"/>
          </w:tcBorders>
          <w:shd w:val="clear" w:color="auto" w:fill="auto"/>
        </w:tcPr>
        <w:p w:rsidR="006B103A" w:rsidRPr="00D922F4" w:rsidRDefault="006B103A"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6B103A" w:rsidRPr="00D922F4" w:rsidRDefault="006B103A" w:rsidP="002E5DE2">
          <w:pPr>
            <w:pStyle w:val="HeaderCell"/>
          </w:pPr>
          <w:r w:rsidRPr="00D922F4">
            <w:rPr>
              <w:rStyle w:val="Strong"/>
            </w:rPr>
            <w:t>Revision:</w:t>
          </w:r>
          <w:r w:rsidRPr="00D922F4">
            <w:t xml:space="preserve"> 0</w:t>
          </w:r>
        </w:p>
      </w:tc>
    </w:tr>
  </w:tbl>
  <w:p w:rsidR="006B103A" w:rsidRPr="002E5DE2" w:rsidRDefault="006B103A" w:rsidP="002E5D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E28"/>
    <w:multiLevelType w:val="hybridMultilevel"/>
    <w:tmpl w:val="52EEEE5E"/>
    <w:styleLink w:val="ImportedStyle14"/>
    <w:lvl w:ilvl="0" w:tplc="23D4CF3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680B1E">
      <w:start w:val="1"/>
      <w:numFmt w:val="low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D964759A">
      <w:start w:val="1"/>
      <w:numFmt w:val="lowerRoman"/>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622FD30">
      <w:start w:val="1"/>
      <w:numFmt w:val="decimal"/>
      <w:lvlText w:val="%4."/>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C508496E">
      <w:start w:val="1"/>
      <w:numFmt w:val="lowerLetter"/>
      <w:lvlText w:val="%5."/>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71646C1A">
      <w:start w:val="1"/>
      <w:numFmt w:val="lowerRoman"/>
      <w:lvlText w:val="%6."/>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8D649E16">
      <w:start w:val="1"/>
      <w:numFmt w:val="decimal"/>
      <w:lvlText w:val="%7."/>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37C4C74C">
      <w:start w:val="1"/>
      <w:numFmt w:val="lowerLetter"/>
      <w:lvlText w:val="%8."/>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5BA8A476">
      <w:start w:val="1"/>
      <w:numFmt w:val="lowerRoman"/>
      <w:lvlText w:val="%9."/>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0B978DF"/>
    <w:multiLevelType w:val="hybridMultilevel"/>
    <w:tmpl w:val="9D3C8D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11198"/>
    <w:multiLevelType w:val="multilevel"/>
    <w:tmpl w:val="AE4AF492"/>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288"/>
        </w:tabs>
        <w:ind w:left="576" w:hanging="288"/>
      </w:pPr>
      <w:rPr>
        <w:rFonts w:ascii="Wingdings" w:hAnsi="Wingdings" w:hint="default"/>
      </w:rPr>
    </w:lvl>
    <w:lvl w:ilvl="3">
      <w:start w:val="1"/>
      <w:numFmt w:val="lowerLetter"/>
      <w:lvlRestart w:val="2"/>
      <w:pStyle w:val="Body3Lettered"/>
      <w:lvlText w:val="%4%1."/>
      <w:lvlJc w:val="left"/>
      <w:pPr>
        <w:tabs>
          <w:tab w:val="num" w:pos="288"/>
        </w:tabs>
        <w:ind w:left="576" w:hanging="288"/>
      </w:pPr>
      <w:rPr>
        <w:rFonts w:hint="default"/>
      </w:rPr>
    </w:lvl>
    <w:lvl w:ilvl="4">
      <w:start w:val="1"/>
      <w:numFmt w:val="decimal"/>
      <w:lvlRestart w:val="1"/>
      <w:pStyle w:val="Body3Numbered"/>
      <w:lvlText w:val="%5%1."/>
      <w:lvlJc w:val="left"/>
      <w:pPr>
        <w:tabs>
          <w:tab w:val="num" w:pos="288"/>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3" w15:restartNumberingAfterBreak="0">
    <w:nsid w:val="1386351C"/>
    <w:multiLevelType w:val="hybridMultilevel"/>
    <w:tmpl w:val="9BF21360"/>
    <w:lvl w:ilvl="0" w:tplc="B59EFB2E">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1A4E97"/>
    <w:multiLevelType w:val="multilevel"/>
    <w:tmpl w:val="7DBE7FB2"/>
    <w:lvl w:ilvl="0">
      <w:start w:val="1"/>
      <w:numFmt w:val="decimal"/>
      <w:suff w:val="space"/>
      <w:lvlText w:val="Table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E72CA4"/>
    <w:multiLevelType w:val="hybridMultilevel"/>
    <w:tmpl w:val="1A5A44F8"/>
    <w:lvl w:ilvl="0" w:tplc="884E97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8F57B8"/>
    <w:multiLevelType w:val="hybridMultilevel"/>
    <w:tmpl w:val="F120E290"/>
    <w:lvl w:ilvl="0" w:tplc="07F463F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8"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9" w15:restartNumberingAfterBreak="0">
    <w:nsid w:val="35E24BD6"/>
    <w:multiLevelType w:val="hybridMultilevel"/>
    <w:tmpl w:val="18C46152"/>
    <w:lvl w:ilvl="0" w:tplc="255EED4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78655E"/>
    <w:multiLevelType w:val="hybridMultilevel"/>
    <w:tmpl w:val="9B14BE9E"/>
    <w:lvl w:ilvl="0" w:tplc="A2121FE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C3207"/>
    <w:multiLevelType w:val="hybridMultilevel"/>
    <w:tmpl w:val="E7B010C8"/>
    <w:lvl w:ilvl="0" w:tplc="CD2832B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240D6C"/>
    <w:multiLevelType w:val="multilevel"/>
    <w:tmpl w:val="742AD124"/>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3" w15:restartNumberingAfterBreak="0">
    <w:nsid w:val="4C05270F"/>
    <w:multiLevelType w:val="hybridMultilevel"/>
    <w:tmpl w:val="52EEEE5E"/>
    <w:numStyleLink w:val="ImportedStyle14"/>
  </w:abstractNum>
  <w:abstractNum w:abstractNumId="14" w15:restartNumberingAfterBreak="0">
    <w:nsid w:val="4C3C5B35"/>
    <w:multiLevelType w:val="hybridMultilevel"/>
    <w:tmpl w:val="254EAD76"/>
    <w:lvl w:ilvl="0" w:tplc="EFBE002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5" w15:restartNumberingAfterBreak="0">
    <w:nsid w:val="4FD96D2B"/>
    <w:multiLevelType w:val="hybridMultilevel"/>
    <w:tmpl w:val="B37E9FCA"/>
    <w:lvl w:ilvl="0" w:tplc="A376693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6"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9039FF"/>
    <w:multiLevelType w:val="hybridMultilevel"/>
    <w:tmpl w:val="96AE412C"/>
    <w:lvl w:ilvl="0" w:tplc="983A6D9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9" w15:restartNumberingAfterBreak="0">
    <w:nsid w:val="5CE506EC"/>
    <w:multiLevelType w:val="hybridMultilevel"/>
    <w:tmpl w:val="B4BC061C"/>
    <w:lvl w:ilvl="0" w:tplc="7C0A2C1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02B1C"/>
    <w:multiLevelType w:val="hybridMultilevel"/>
    <w:tmpl w:val="02E44308"/>
    <w:lvl w:ilvl="0" w:tplc="4BB82886">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15:restartNumberingAfterBreak="0">
    <w:nsid w:val="62440DC1"/>
    <w:multiLevelType w:val="multilevel"/>
    <w:tmpl w:val="DD9C6C94"/>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Wingdings" w:hAnsi="Wingdings"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2" w15:restartNumberingAfterBreak="0">
    <w:nsid w:val="73B40A0B"/>
    <w:multiLevelType w:val="hybridMultilevel"/>
    <w:tmpl w:val="4D8A0D48"/>
    <w:lvl w:ilvl="0" w:tplc="BC8E4184">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15:restartNumberingAfterBreak="0">
    <w:nsid w:val="74292B03"/>
    <w:multiLevelType w:val="hybridMultilevel"/>
    <w:tmpl w:val="A7F05268"/>
    <w:lvl w:ilvl="0" w:tplc="E72661A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41A8F"/>
    <w:multiLevelType w:val="hybridMultilevel"/>
    <w:tmpl w:val="F07C6296"/>
    <w:lvl w:ilvl="0" w:tplc="730E64D0">
      <w:start w:val="1"/>
      <w:numFmt w:val="decimal"/>
      <w:pStyle w:val="Figure"/>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C2BF7"/>
    <w:multiLevelType w:val="multilevel"/>
    <w:tmpl w:val="93303764"/>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hint="default"/>
      </w:rPr>
    </w:lvl>
    <w:lvl w:ilvl="2">
      <w:start w:val="1"/>
      <w:numFmt w:val="decimal"/>
      <w:pStyle w:val="Heading3"/>
      <w:lvlText w:val="%1.%2.%3"/>
      <w:lvlJc w:val="left"/>
      <w:pPr>
        <w:tabs>
          <w:tab w:val="num" w:pos="7470"/>
        </w:tabs>
        <w:ind w:left="7470" w:hanging="720"/>
      </w:pPr>
      <w:rPr>
        <w:rFonts w:hint="default"/>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abstractNum w:abstractNumId="26" w15:restartNumberingAfterBreak="0">
    <w:nsid w:val="7DE91D60"/>
    <w:multiLevelType w:val="hybridMultilevel"/>
    <w:tmpl w:val="61B27CFA"/>
    <w:lvl w:ilvl="0" w:tplc="C4DCCCF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14"/>
  </w:num>
  <w:num w:numId="4">
    <w:abstractNumId w:val="11"/>
  </w:num>
  <w:num w:numId="5">
    <w:abstractNumId w:val="6"/>
  </w:num>
  <w:num w:numId="6">
    <w:abstractNumId w:val="23"/>
  </w:num>
  <w:num w:numId="7">
    <w:abstractNumId w:val="24"/>
  </w:num>
  <w:num w:numId="8">
    <w:abstractNumId w:val="5"/>
  </w:num>
  <w:num w:numId="9">
    <w:abstractNumId w:val="17"/>
  </w:num>
  <w:num w:numId="10">
    <w:abstractNumId w:val="22"/>
  </w:num>
  <w:num w:numId="11">
    <w:abstractNumId w:val="20"/>
  </w:num>
  <w:num w:numId="12">
    <w:abstractNumId w:val="3"/>
  </w:num>
  <w:num w:numId="13">
    <w:abstractNumId w:val="15"/>
  </w:num>
  <w:num w:numId="14">
    <w:abstractNumId w:val="8"/>
  </w:num>
  <w:num w:numId="15">
    <w:abstractNumId w:val="16"/>
  </w:num>
  <w:num w:numId="16">
    <w:abstractNumId w:val="4"/>
  </w:num>
  <w:num w:numId="17">
    <w:abstractNumId w:val="9"/>
  </w:num>
  <w:num w:numId="18">
    <w:abstractNumId w:val="25"/>
  </w:num>
  <w:num w:numId="19">
    <w:abstractNumId w:val="2"/>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6"/>
  </w:num>
  <w:num w:numId="24">
    <w:abstractNumId w:val="18"/>
  </w:num>
  <w:num w:numId="25">
    <w:abstractNumId w:val="12"/>
  </w:num>
  <w:num w:numId="26">
    <w:abstractNumId w:val="12"/>
  </w:num>
  <w:num w:numId="27">
    <w:abstractNumId w:val="1"/>
  </w:num>
  <w:num w:numId="28">
    <w:abstractNumId w:val="7"/>
  </w:num>
  <w:num w:numId="29">
    <w:abstractNumId w:val="0"/>
  </w:num>
  <w:num w:numId="3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44"/>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71D2A"/>
    <w:rsid w:val="0037365F"/>
    <w:rsid w:val="0037412A"/>
    <w:rsid w:val="00381136"/>
    <w:rsid w:val="00381B59"/>
    <w:rsid w:val="00384CCB"/>
    <w:rsid w:val="003867D1"/>
    <w:rsid w:val="003868A1"/>
    <w:rsid w:val="00393364"/>
    <w:rsid w:val="00397600"/>
    <w:rsid w:val="0039791E"/>
    <w:rsid w:val="003A0A47"/>
    <w:rsid w:val="003A199D"/>
    <w:rsid w:val="003A2005"/>
    <w:rsid w:val="003A6143"/>
    <w:rsid w:val="003A652D"/>
    <w:rsid w:val="003B1D69"/>
    <w:rsid w:val="003B4A8E"/>
    <w:rsid w:val="003B5356"/>
    <w:rsid w:val="003B73DE"/>
    <w:rsid w:val="003C1D52"/>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DA5"/>
    <w:rsid w:val="004671B1"/>
    <w:rsid w:val="00467DEC"/>
    <w:rsid w:val="0047017E"/>
    <w:rsid w:val="004768B2"/>
    <w:rsid w:val="004809F5"/>
    <w:rsid w:val="00481754"/>
    <w:rsid w:val="00481A22"/>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2A44"/>
    <w:rsid w:val="00543472"/>
    <w:rsid w:val="00553259"/>
    <w:rsid w:val="00555BF0"/>
    <w:rsid w:val="00557213"/>
    <w:rsid w:val="00561696"/>
    <w:rsid w:val="00562F9D"/>
    <w:rsid w:val="00566FFC"/>
    <w:rsid w:val="005734DA"/>
    <w:rsid w:val="00575EA1"/>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AF6"/>
    <w:rsid w:val="00681F19"/>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60B5"/>
    <w:rsid w:val="0071761C"/>
    <w:rsid w:val="00720F02"/>
    <w:rsid w:val="0072358D"/>
    <w:rsid w:val="00723F69"/>
    <w:rsid w:val="00726B06"/>
    <w:rsid w:val="007306C4"/>
    <w:rsid w:val="0073326D"/>
    <w:rsid w:val="007418F6"/>
    <w:rsid w:val="00746C7A"/>
    <w:rsid w:val="007507A9"/>
    <w:rsid w:val="0075091C"/>
    <w:rsid w:val="00751D44"/>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1A4B"/>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0310"/>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3CDD"/>
    <w:rsid w:val="009D7D19"/>
    <w:rsid w:val="009E5B07"/>
    <w:rsid w:val="009F05D5"/>
    <w:rsid w:val="009F5CBC"/>
    <w:rsid w:val="00A003B6"/>
    <w:rsid w:val="00A00F59"/>
    <w:rsid w:val="00A01818"/>
    <w:rsid w:val="00A043BD"/>
    <w:rsid w:val="00A100A8"/>
    <w:rsid w:val="00A113B8"/>
    <w:rsid w:val="00A12FE2"/>
    <w:rsid w:val="00A142C9"/>
    <w:rsid w:val="00A14A29"/>
    <w:rsid w:val="00A16C4C"/>
    <w:rsid w:val="00A238CD"/>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3FF6"/>
    <w:rsid w:val="00C155F7"/>
    <w:rsid w:val="00C15BBD"/>
    <w:rsid w:val="00C1641C"/>
    <w:rsid w:val="00C1707B"/>
    <w:rsid w:val="00C2345C"/>
    <w:rsid w:val="00C2477F"/>
    <w:rsid w:val="00C24F4C"/>
    <w:rsid w:val="00C3084E"/>
    <w:rsid w:val="00C37923"/>
    <w:rsid w:val="00C40F05"/>
    <w:rsid w:val="00C444AB"/>
    <w:rsid w:val="00C46B58"/>
    <w:rsid w:val="00C50CF0"/>
    <w:rsid w:val="00C54298"/>
    <w:rsid w:val="00C6119A"/>
    <w:rsid w:val="00C64CB1"/>
    <w:rsid w:val="00C65FB1"/>
    <w:rsid w:val="00C67295"/>
    <w:rsid w:val="00C707FD"/>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C1B52774-019B-4858-B002-6285E48A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31AE"/>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18"/>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18"/>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2970D7"/>
    <w:pPr>
      <w:numPr>
        <w:ilvl w:val="2"/>
        <w:numId w:val="18"/>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DE32E8"/>
    <w:pPr>
      <w:numPr>
        <w:ilvl w:val="3"/>
        <w:numId w:val="18"/>
      </w:numPr>
      <w:pBdr>
        <w:bottom w:val="single" w:sz="4" w:space="1" w:color="auto"/>
      </w:pBdr>
      <w:spacing w:before="40" w:after="40"/>
      <w:jc w:val="left"/>
      <w:outlineLvl w:val="3"/>
    </w:pPr>
    <w:rPr>
      <w:szCs w:val="22"/>
    </w:rPr>
  </w:style>
  <w:style w:type="paragraph" w:styleId="Heading5">
    <w:name w:val="heading 5"/>
    <w:basedOn w:val="Heading"/>
    <w:next w:val="Body5"/>
    <w:link w:val="Heading5Char"/>
    <w:uiPriority w:val="9"/>
    <w:semiHidden/>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14"/>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22"/>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575EA1"/>
    <w:pPr>
      <w:numPr>
        <w:ilvl w:val="1"/>
        <w:numId w:val="19"/>
      </w:numPr>
    </w:pPr>
  </w:style>
  <w:style w:type="character" w:customStyle="1" w:styleId="Heading3Char">
    <w:name w:val="Heading 3 Char"/>
    <w:basedOn w:val="DefaultParagraphFont"/>
    <w:link w:val="Heading3"/>
    <w:uiPriority w:val="9"/>
    <w:rsid w:val="002970D7"/>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DE32E8"/>
    <w:pPr>
      <w:numPr>
        <w:ilvl w:val="1"/>
        <w:numId w:val="20"/>
      </w:numPr>
      <w:spacing w:line="240" w:lineRule="auto"/>
    </w:pPr>
  </w:style>
  <w:style w:type="character" w:customStyle="1" w:styleId="Heading4Char">
    <w:name w:val="Heading 4 Char"/>
    <w:basedOn w:val="DefaultParagraphFont"/>
    <w:link w:val="Heading4"/>
    <w:uiPriority w:val="9"/>
    <w:rsid w:val="00DE32E8"/>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semiHidden/>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575EA1"/>
    <w:pPr>
      <w:numPr>
        <w:ilvl w:val="4"/>
      </w:numPr>
      <w:contextualSpacing/>
    </w:pPr>
  </w:style>
  <w:style w:type="paragraph" w:customStyle="1" w:styleId="Body2Numbered">
    <w:name w:val="Body 2 Numbered"/>
    <w:basedOn w:val="Body1Numbered"/>
    <w:qFormat/>
    <w:rsid w:val="00C37923"/>
    <w:pPr>
      <w:numPr>
        <w:numId w:val="22"/>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
    <w:name w:val="Figure"/>
    <w:basedOn w:val="Body"/>
    <w:next w:val="Normal"/>
    <w:qFormat/>
    <w:rsid w:val="00FE248F"/>
    <w:pPr>
      <w:framePr w:hSpace="288" w:wrap="notBeside" w:vAnchor="text" w:hAnchor="text" w:xAlign="center" w:y="1"/>
      <w:numPr>
        <w:numId w:val="7"/>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
    <w:qFormat/>
    <w:rsid w:val="00467DEC"/>
    <w:pPr>
      <w:framePr w:wrap="around" w:xAlign="left"/>
      <w:ind w:left="0" w:firstLine="0"/>
      <w:jc w:val="left"/>
    </w:pPr>
    <w:rPr>
      <w:noProof/>
    </w:rPr>
  </w:style>
  <w:style w:type="paragraph" w:customStyle="1" w:styleId="FigureRight">
    <w:name w:val="Figure Right"/>
    <w:basedOn w:val="Figure"/>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22"/>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22"/>
      </w:numPr>
      <w:tabs>
        <w:tab w:val="clear" w:pos="288"/>
      </w:tabs>
    </w:pPr>
  </w:style>
  <w:style w:type="paragraph" w:customStyle="1" w:styleId="Body3Bulleted">
    <w:name w:val="Body 3 Bulleted"/>
    <w:basedOn w:val="Body3"/>
    <w:qFormat/>
    <w:rsid w:val="00575EA1"/>
    <w:pPr>
      <w:numPr>
        <w:ilvl w:val="2"/>
      </w:numPr>
      <w:tabs>
        <w:tab w:val="clear" w:pos="288"/>
        <w:tab w:val="num" w:pos="540"/>
        <w:tab w:val="left" w:pos="1890"/>
      </w:tabs>
      <w:spacing w:after="60"/>
    </w:pPr>
    <w:rPr>
      <w:szCs w:val="22"/>
    </w:rPr>
  </w:style>
  <w:style w:type="paragraph" w:customStyle="1" w:styleId="Body3Lettered">
    <w:name w:val="Body 3 Lettered"/>
    <w:basedOn w:val="Body3"/>
    <w:qFormat/>
    <w:rsid w:val="00575EA1"/>
    <w:pPr>
      <w:numPr>
        <w:ilvl w:val="3"/>
      </w:numPr>
      <w:contextualSpacing/>
    </w:pPr>
  </w:style>
  <w:style w:type="paragraph" w:customStyle="1" w:styleId="Body4Bulleted">
    <w:name w:val="Body 4 Bulleted"/>
    <w:basedOn w:val="Body4"/>
    <w:qFormat/>
    <w:rsid w:val="00DE32E8"/>
    <w:pPr>
      <w:numPr>
        <w:ilvl w:val="2"/>
      </w:numPr>
      <w:tabs>
        <w:tab w:val="left" w:pos="864"/>
      </w:tabs>
      <w:contextualSpacing/>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22"/>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15"/>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24"/>
      </w:numPr>
      <w:tabs>
        <w:tab w:val="left" w:pos="900"/>
      </w:tabs>
      <w:spacing w:before="240" w:after="120"/>
      <w:ind w:left="907" w:hanging="907"/>
    </w:pPr>
    <w:rPr>
      <w:b/>
      <w:iCs/>
    </w:rPr>
  </w:style>
  <w:style w:type="paragraph" w:customStyle="1" w:styleId="Body3Sub">
    <w:name w:val="Body 3 Sub"/>
    <w:basedOn w:val="Body3"/>
    <w:qFormat/>
    <w:rsid w:val="00575EA1"/>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28"/>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styleId="BodyTextIndent2">
    <w:name w:val="Body Text Indent 2"/>
    <w:basedOn w:val="Normal"/>
    <w:link w:val="BodyTextIndent2Char"/>
    <w:uiPriority w:val="99"/>
    <w:semiHidden/>
    <w:unhideWhenUsed/>
    <w:rsid w:val="003A652D"/>
    <w:pPr>
      <w:spacing w:after="120" w:line="480" w:lineRule="auto"/>
      <w:ind w:left="360"/>
    </w:pPr>
    <w:rPr>
      <w:rFonts w:eastAsia="Times New Roman" w:cs="Times New Roman"/>
      <w:sz w:val="24"/>
      <w:szCs w:val="24"/>
    </w:rPr>
  </w:style>
  <w:style w:type="character" w:customStyle="1" w:styleId="BodyTextIndent2Char">
    <w:name w:val="Body Text Indent 2 Char"/>
    <w:basedOn w:val="DefaultParagraphFont"/>
    <w:link w:val="BodyTextIndent2"/>
    <w:uiPriority w:val="99"/>
    <w:semiHidden/>
    <w:rsid w:val="003A652D"/>
    <w:rPr>
      <w:rFonts w:ascii="Times New Roman" w:eastAsia="Times New Roman" w:hAnsi="Times New Roman" w:cs="Times New Roman"/>
      <w:sz w:val="24"/>
      <w:szCs w:val="24"/>
    </w:rPr>
  </w:style>
  <w:style w:type="character" w:styleId="PageNumber">
    <w:name w:val="page number"/>
    <w:basedOn w:val="DefaultParagraphFont"/>
    <w:rsid w:val="003A652D"/>
  </w:style>
  <w:style w:type="paragraph" w:customStyle="1" w:styleId="BodyAAA">
    <w:name w:val="Body A A A"/>
    <w:rsid w:val="003A652D"/>
    <w:pPr>
      <w:pBdr>
        <w:top w:val="nil"/>
        <w:left w:val="nil"/>
        <w:bottom w:val="nil"/>
        <w:right w:val="nil"/>
        <w:between w:val="nil"/>
        <w:bar w:val="nil"/>
      </w:pBdr>
      <w:spacing w:after="0" w:line="240" w:lineRule="auto"/>
      <w:ind w:firstLine="720"/>
      <w:jc w:val="both"/>
    </w:pPr>
    <w:rPr>
      <w:rFonts w:ascii="Times New Roman" w:eastAsia="Times New Roman" w:hAnsi="Times New Roman" w:cs="Times New Roman"/>
      <w:color w:val="000000"/>
      <w:sz w:val="20"/>
      <w:szCs w:val="20"/>
      <w:u w:color="000000"/>
      <w:bdr w:val="nil"/>
    </w:rPr>
  </w:style>
  <w:style w:type="numbering" w:customStyle="1" w:styleId="ImportedStyle14">
    <w:name w:val="Imported Style 14"/>
    <w:rsid w:val="003A652D"/>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HPO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Nat18</b:Tag>
    <b:SourceType>Report</b:SourceType>
    <b:Guid>{B72BAADA-4231-45B1-918A-93D59EA7F66C}</b:Guid>
    <b:Author>
      <b:Author>
        <b:Corporate>National Academy of Sciences, Engineering, and Medicine</b:Corporate>
      </b:Author>
    </b:Author>
    <b:Title>An Assessment of U.S.-Based Electron-Ion Collider Science</b:Title>
    <b:Year>2018</b:Year>
    <b:Publisher>The National Acadamies Press</b:Publisher>
    <b:City>Washington, DC</b:City>
    <b:StandardNumber>doi:10.17226/25171</b:StandardNumber>
    <b:RefOrder>1</b:RefOrder>
  </b:Source>
  <b:Source>
    <b:Tag>Off18</b:Tag>
    <b:SourceType>Report</b:SourceType>
    <b:Guid>{B7B43779-D53A-4B3B-BC9E-BF8E6E0E938F}</b:Guid>
    <b:Author>
      <b:Author>
        <b:Corporate>Office of Nuclear Physics</b:Corporate>
      </b:Author>
    </b:Author>
    <b:Title>Mission Need Statement for the Electron Ion Collider</b:Title>
    <b:Year>2018</b:Year>
    <b:City>Germantown, MD</b:City>
    <b:Publisher>U.S. Department of Energy</b:Publisher>
    <b:RefOrder>2</b:RefOrder>
  </b:Source>
  <b:Source>
    <b:Tag>Wil21</b:Tag>
    <b:SourceType>Report</b:SourceType>
    <b:Guid>{532E7B39-8C58-4781-8D1C-ED98818D5ED1}</b:Guid>
    <b:Author>
      <b:Author>
        <b:NameList>
          <b:Person>
            <b:Last>Willeke</b:Last>
            <b:First>F.</b:First>
          </b:Person>
        </b:NameList>
      </b:Author>
    </b:Author>
    <b:Title>Electron Ion Collider Conceptual Design Report 2021</b:Title>
    <b:Year>2021</b:Year>
    <b:Publisher>Brookhaven National Laboratory</b:Publisher>
    <b:City>Brookhaven, NY</b:City>
    <b:StandardNumber>doi:10.2172/1765663</b:StandardNumber>
    <b:RefOrder>3</b:RefOrder>
  </b:Source>
  <b:Source>
    <b:Tag>EIC21</b:Tag>
    <b:SourceType>Report</b:SourceType>
    <b:Guid>{FBF805BC-C24B-44A7-8508-19AF916458E7}</b:Guid>
    <b:Author>
      <b:Author>
        <b:Corporate>EIC User Group</b:Corporate>
      </b:Author>
    </b:Author>
    <b:Title>Science Requirements and Detector Concepts for the Electron-Ion Collider: EIC Yellow Report</b:Title>
    <b:Year>2021</b:Year>
    <b:Publisher>Brookhaven National Laboratory</b:Publisher>
    <b:City>Brookhaven, NY</b:City>
    <b:StandardNumber>arXiv:2103.05419</b:StandardNumber>
    <b:RefOrder>4</b:RefOrder>
  </b:Source>
</b:Sources>
</file>

<file path=customXml/itemProps1.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2.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4.xml><?xml version="1.0" encoding="utf-8"?>
<ds:datastoreItem xmlns:ds="http://schemas.openxmlformats.org/officeDocument/2006/customXml" ds:itemID="{9D5734B3-2593-4785-A09A-7C6B561D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HPOLTemplate.DOTX</Template>
  <TotalTime>0</TotalTime>
  <Pages>11</Pages>
  <Words>2861</Words>
  <Characters>16308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19131</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2026-07-14T19:34:00Z</dcterms:created>
  <dcterms:modified xsi:type="dcterms:W3CDTF">2026-07-14T19:34:00Z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