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F9D" w:rsidRPr="00CB7BFD" w:rsidRDefault="00865135" w:rsidP="001E5D9B">
      <w:pPr>
        <w:jc w:val="center"/>
        <w:rPr>
          <w:rFonts w:cs="Times New Roman"/>
        </w:rPr>
      </w:pPr>
      <w:bookmarkStart w:id="0" w:name="_GoBack"/>
      <w:bookmarkEnd w:id="0"/>
      <w:r w:rsidRPr="00CB7BFD">
        <w:rPr>
          <w:rFonts w:cs="Times New Roman"/>
        </w:rPr>
        <w:t>Electron-Ion Collider</w:t>
      </w:r>
      <w:r w:rsidR="005E5448" w:rsidRPr="00CB7BFD">
        <w:rPr>
          <w:rFonts w:cs="Times New Roman"/>
        </w:rPr>
        <w:t xml:space="preserve">, </w:t>
      </w:r>
      <w:r w:rsidR="00824E3A" w:rsidRPr="00CB7BFD">
        <w:rPr>
          <w:rFonts w:cs="Times New Roman"/>
        </w:rPr>
        <w:t>Requirements, Specifications</w:t>
      </w:r>
      <w:r w:rsidR="001E5D9B" w:rsidRPr="00CB7BFD">
        <w:rPr>
          <w:rFonts w:cs="Times New Roman"/>
        </w:rPr>
        <w:t>, and Interfaces</w:t>
      </w:r>
    </w:p>
    <w:p w:rsidR="007A0EA6" w:rsidRPr="002E5DE2" w:rsidRDefault="007A0EA6" w:rsidP="007A0EA6">
      <w:pPr>
        <w:pStyle w:val="CoverpageTitle"/>
      </w:pPr>
      <w:r w:rsidRPr="002E5DE2">
        <w:t xml:space="preserve">Interface Control Document: </w:t>
      </w:r>
      <w:r>
        <w:t>[</w:t>
      </w:r>
      <w:r w:rsidRPr="002E5DE2">
        <w:t>#</w:t>
      </w:r>
      <w:r>
        <w:t>##]</w:t>
      </w:r>
    </w:p>
    <w:p w:rsidR="002E5DE2" w:rsidRPr="002E5DE2" w:rsidRDefault="00553970" w:rsidP="007A0EA6">
      <w:pPr>
        <w:pStyle w:val="CoverpageTitle"/>
      </w:pPr>
      <w:r>
        <w:t>Detector Infrastructure Systems (6.03.09) to BNL Portfolio FIPD</w:t>
      </w:r>
    </w:p>
    <w:p w:rsidR="002E5DE2" w:rsidRPr="002E5DE2" w:rsidRDefault="002E5DE2" w:rsidP="002E5DE2">
      <w:pPr>
        <w:rPr>
          <w:kern w:val="2"/>
          <w14:ligatures w14:val="standardContextual"/>
        </w:rPr>
      </w:pPr>
    </w:p>
    <w:p w:rsidR="002E5DE2" w:rsidRPr="002E5DE2" w:rsidRDefault="002E5DE2" w:rsidP="002E5DE2">
      <w:pPr>
        <w:pStyle w:val="SignatureHeader"/>
      </w:pPr>
      <w:r w:rsidRPr="002E5DE2">
        <w:t>Prepared by:</w:t>
      </w:r>
    </w:p>
    <w:p w:rsidR="002E5DE2" w:rsidRPr="002E5DE2" w:rsidRDefault="002E5DE2" w:rsidP="002E5DE2">
      <w:pPr>
        <w:pStyle w:val="SignatureBlock"/>
        <w:rPr>
          <w:sz w:val="32"/>
          <w:szCs w:val="32"/>
        </w:rPr>
      </w:pPr>
      <w:r w:rsidRPr="002E5DE2">
        <w:t>{{Sig_es_:signer1:signature}}</w:t>
      </w:r>
      <w:r w:rsidRPr="002E5DE2">
        <w:tab/>
        <w:t>Date: {{Dte_es_:signer1:date}}</w:t>
      </w:r>
      <w:r w:rsidR="00D51AFC">
        <w:t xml:space="preserve"> </w:t>
      </w:r>
      <w:r w:rsidRPr="002E5DE2">
        <w:t> </w:t>
      </w:r>
    </w:p>
    <w:p w:rsidR="002E5DE2" w:rsidRPr="002E5DE2" w:rsidRDefault="000A7A1A" w:rsidP="002E5DE2">
      <w:pPr>
        <w:pStyle w:val="SignatureBlock"/>
      </w:pPr>
      <w:r>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Pr>
        <w:rPr>
          <w:kern w:val="2"/>
          <w14:ligatures w14:val="standardContextual"/>
        </w:rPr>
      </w:pPr>
    </w:p>
    <w:p w:rsidR="002E5DE2" w:rsidRPr="002E5DE2" w:rsidRDefault="002E5DE2" w:rsidP="002E5DE2">
      <w:pPr>
        <w:pStyle w:val="SignatureHeader"/>
        <w:rPr>
          <w:highlight w:val="yellow"/>
        </w:rPr>
      </w:pPr>
      <w:r w:rsidRPr="002E5DE2">
        <w:t xml:space="preserve">Reviewed by: </w:t>
      </w:r>
    </w:p>
    <w:p w:rsidR="002E5DE2" w:rsidRPr="002E5DE2" w:rsidRDefault="002E5DE2" w:rsidP="002E5DE2">
      <w:pPr>
        <w:pStyle w:val="SignatureBlock"/>
        <w:rPr>
          <w:lang w:val="de-DE"/>
        </w:rPr>
      </w:pPr>
      <w:r w:rsidRPr="002E5DE2">
        <w:t>{{Sig_es_:signer2:signature}}</w:t>
      </w:r>
      <w:r w:rsidRPr="002E5DE2">
        <w:tab/>
      </w:r>
      <w:r w:rsidRPr="002E5DE2">
        <w:rPr>
          <w:lang w:val="de-DE"/>
        </w:rPr>
        <w:t xml:space="preserve">Date: </w:t>
      </w:r>
      <w:r w:rsidRPr="002E5DE2">
        <w:t>{{Dte_es_:signer2:date}}</w:t>
      </w:r>
      <w:r w:rsidR="00D51AFC">
        <w:rPr>
          <w:lang w:val="de-DE"/>
        </w:rPr>
        <w:t xml:space="preserve"> </w:t>
      </w:r>
      <w:r w:rsidRPr="002E5DE2">
        <w:rPr>
          <w:lang w:val="de-DE"/>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t>{{Sig_es_:signer3:signature}}</w:t>
      </w:r>
      <w:r w:rsidRPr="002E5DE2">
        <w:tab/>
        <w:t>Date: {{Dte_es_:signer3:date}}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t>{{Sig_es_:signer4:signature}}</w:t>
      </w:r>
      <w:r w:rsidRPr="002E5DE2">
        <w:tab/>
      </w:r>
      <w:r w:rsidRPr="002E5DE2">
        <w:rPr>
          <w:lang w:val="de-DE"/>
        </w:rPr>
        <w:t>Date: </w:t>
      </w:r>
      <w:r w:rsidRPr="002E5DE2">
        <w:t>{{Dte_es_:signer4:date}}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Header"/>
        <w:rPr>
          <w:highlight w:val="yellow"/>
        </w:rPr>
      </w:pPr>
      <w:r w:rsidRPr="002E5DE2">
        <w:t xml:space="preserve">Approved by: </w:t>
      </w:r>
    </w:p>
    <w:p w:rsidR="002E5DE2" w:rsidRPr="002E5DE2" w:rsidRDefault="002E5DE2" w:rsidP="002E5DE2">
      <w:pPr>
        <w:pStyle w:val="SignatureBlock"/>
      </w:pPr>
      <w:r w:rsidRPr="002E5DE2">
        <w:t>{{Sig_es_:signer5:signature}}</w:t>
      </w:r>
      <w:r w:rsidRPr="002E5DE2">
        <w:tab/>
        <w:t>Date: {{Dte_es_:signer5:date}}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 w:rsidR="006F08CB" w:rsidRDefault="006F08CB">
      <w:pPr>
        <w:spacing w:line="276" w:lineRule="auto"/>
        <w:rPr>
          <w:rFonts w:eastAsia="Calibri" w:cs="Times New Roman"/>
          <w:color w:val="000000"/>
          <w:szCs w:val="24"/>
        </w:rPr>
      </w:pPr>
      <w:r>
        <w:rPr>
          <w:rFonts w:eastAsia="Calibri" w:cs="Times New Roman"/>
          <w:color w:val="000000"/>
          <w:szCs w:val="24"/>
        </w:rPr>
        <w:br w:type="page"/>
      </w:r>
    </w:p>
    <w:p w:rsidR="006F08CB" w:rsidRPr="00E444DD" w:rsidRDefault="00081F9F" w:rsidP="00E444DD">
      <w:pPr>
        <w:pStyle w:val="Heading"/>
      </w:pPr>
      <w:bookmarkStart w:id="1" w:name="_Hlk523485632"/>
      <w:r w:rsidRPr="00E444DD">
        <w:lastRenderedPageBreak/>
        <w:t>REVISION</w:t>
      </w:r>
      <w:r w:rsidR="006F08CB" w:rsidRPr="00E444DD">
        <w:t xml:space="preserve"> HISTORY</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1620"/>
        <w:gridCol w:w="3960"/>
        <w:gridCol w:w="2970"/>
      </w:tblGrid>
      <w:tr w:rsidR="006F08CB" w:rsidRPr="006F08CB" w:rsidTr="0053173B">
        <w:trPr>
          <w:trHeight w:val="698"/>
          <w:jc w:val="center"/>
        </w:trPr>
        <w:tc>
          <w:tcPr>
            <w:tcW w:w="1525" w:type="dxa"/>
            <w:vAlign w:val="center"/>
          </w:tcPr>
          <w:p w:rsidR="006F08CB" w:rsidRPr="006F08CB" w:rsidRDefault="00081F9F" w:rsidP="006F08CB">
            <w:pPr>
              <w:jc w:val="center"/>
              <w:rPr>
                <w:rFonts w:eastAsia="MS Mincho" w:cs="Times New Roman"/>
                <w:b/>
              </w:rPr>
            </w:pPr>
            <w:r>
              <w:rPr>
                <w:rFonts w:eastAsia="MS Mincho" w:cs="Times New Roman"/>
                <w:b/>
              </w:rPr>
              <w:t>Revision</w:t>
            </w:r>
            <w:r w:rsidR="006F08CB" w:rsidRPr="006F08CB">
              <w:rPr>
                <w:rFonts w:eastAsia="MS Mincho" w:cs="Times New Roman"/>
                <w:b/>
              </w:rPr>
              <w:t xml:space="preserve"> #</w:t>
            </w:r>
          </w:p>
        </w:tc>
        <w:tc>
          <w:tcPr>
            <w:tcW w:w="1620" w:type="dxa"/>
            <w:vAlign w:val="center"/>
          </w:tcPr>
          <w:p w:rsidR="006F08CB" w:rsidRPr="006F08CB" w:rsidRDefault="006F08CB" w:rsidP="006F08CB">
            <w:pPr>
              <w:jc w:val="center"/>
              <w:rPr>
                <w:rFonts w:eastAsia="MS Mincho" w:cs="Times New Roman"/>
                <w:b/>
              </w:rPr>
            </w:pPr>
            <w:r w:rsidRPr="006F08CB">
              <w:rPr>
                <w:rFonts w:eastAsia="MS Mincho" w:cs="Times New Roman"/>
                <w:b/>
              </w:rPr>
              <w:t>Effective Date</w:t>
            </w:r>
          </w:p>
        </w:tc>
        <w:tc>
          <w:tcPr>
            <w:tcW w:w="3960" w:type="dxa"/>
            <w:vAlign w:val="center"/>
          </w:tcPr>
          <w:p w:rsidR="006F08CB" w:rsidRPr="006F08CB" w:rsidRDefault="006F08CB" w:rsidP="006F08CB">
            <w:pPr>
              <w:jc w:val="center"/>
              <w:rPr>
                <w:rFonts w:eastAsia="MS Mincho" w:cs="Times New Roman"/>
                <w:b/>
              </w:rPr>
            </w:pPr>
            <w:r w:rsidRPr="006F08CB">
              <w:rPr>
                <w:rFonts w:eastAsia="MS Mincho" w:cs="Times New Roman"/>
                <w:b/>
              </w:rPr>
              <w:t>Additional Reviewers</w:t>
            </w:r>
          </w:p>
        </w:tc>
        <w:tc>
          <w:tcPr>
            <w:tcW w:w="2970" w:type="dxa"/>
            <w:vAlign w:val="center"/>
          </w:tcPr>
          <w:p w:rsidR="006F08CB" w:rsidRPr="006F08CB" w:rsidRDefault="006F08CB" w:rsidP="006F08CB">
            <w:pPr>
              <w:jc w:val="center"/>
              <w:rPr>
                <w:rFonts w:eastAsia="MS Mincho" w:cs="Times New Roman"/>
                <w:b/>
              </w:rPr>
            </w:pPr>
            <w:r w:rsidRPr="006F08CB">
              <w:rPr>
                <w:rFonts w:eastAsia="MS Mincho" w:cs="Times New Roman"/>
                <w:b/>
              </w:rPr>
              <w:t>Summary of Change</w:t>
            </w:r>
          </w:p>
        </w:tc>
      </w:tr>
      <w:tr w:rsidR="006F08CB" w:rsidRPr="006F08CB" w:rsidTr="0053173B">
        <w:trPr>
          <w:trHeight w:val="521"/>
          <w:jc w:val="center"/>
        </w:trPr>
        <w:tc>
          <w:tcPr>
            <w:tcW w:w="1525" w:type="dxa"/>
            <w:vAlign w:val="center"/>
          </w:tcPr>
          <w:p w:rsidR="006F08CB" w:rsidRPr="006F08CB" w:rsidRDefault="00081F9F" w:rsidP="00081F9F">
            <w:pPr>
              <w:jc w:val="center"/>
              <w:rPr>
                <w:rFonts w:eastAsia="MS Mincho" w:cs="Times New Roman"/>
              </w:rPr>
            </w:pPr>
            <w:r>
              <w:rPr>
                <w:rFonts w:eastAsia="MS Mincho" w:cs="Times New Roman"/>
              </w:rPr>
              <w:t>00</w:t>
            </w:r>
          </w:p>
        </w:tc>
        <w:tc>
          <w:tcPr>
            <w:tcW w:w="1620" w:type="dxa"/>
            <w:vAlign w:val="center"/>
          </w:tcPr>
          <w:p w:rsidR="006F08CB" w:rsidRPr="006F08CB" w:rsidRDefault="006F08CB" w:rsidP="00081F9F">
            <w:pPr>
              <w:jc w:val="center"/>
              <w:rPr>
                <w:rFonts w:eastAsia="MS Mincho" w:cs="Times New Roman"/>
              </w:rPr>
            </w:pPr>
          </w:p>
        </w:tc>
        <w:tc>
          <w:tcPr>
            <w:tcW w:w="3960" w:type="dxa"/>
            <w:vAlign w:val="center"/>
          </w:tcPr>
          <w:p w:rsidR="006F08CB" w:rsidRPr="006F08CB" w:rsidRDefault="006F08CB" w:rsidP="00081F9F">
            <w:pPr>
              <w:jc w:val="center"/>
              <w:rPr>
                <w:rFonts w:eastAsia="SimSun" w:cs="Times New Roman"/>
                <w:bCs/>
                <w:color w:val="000000"/>
              </w:rPr>
            </w:pPr>
          </w:p>
        </w:tc>
        <w:tc>
          <w:tcPr>
            <w:tcW w:w="2970" w:type="dxa"/>
            <w:vAlign w:val="center"/>
          </w:tcPr>
          <w:p w:rsidR="006F08CB" w:rsidRPr="006F08CB" w:rsidRDefault="00081F9F" w:rsidP="00081F9F">
            <w:pPr>
              <w:jc w:val="center"/>
              <w:rPr>
                <w:rFonts w:eastAsia="MS Mincho" w:cs="Times New Roman"/>
              </w:rPr>
            </w:pPr>
            <w:r>
              <w:rPr>
                <w:rFonts w:eastAsia="MS Mincho" w:cs="Times New Roman"/>
              </w:rPr>
              <w:t>Initial release.</w:t>
            </w:r>
          </w:p>
        </w:tc>
      </w:tr>
      <w:bookmarkEnd w:id="1"/>
    </w:tbl>
    <w:p w:rsidR="006F08CB" w:rsidRDefault="006F08CB" w:rsidP="006F08CB">
      <w:pPr>
        <w:keepNext/>
        <w:jc w:val="center"/>
        <w:rPr>
          <w:rFonts w:eastAsia="SimSun" w:cs="Times New Roman"/>
          <w:b/>
          <w:iCs/>
        </w:rPr>
      </w:pPr>
    </w:p>
    <w:p w:rsidR="00957CE7" w:rsidRDefault="00957CE7">
      <w:pPr>
        <w:spacing w:line="276" w:lineRule="auto"/>
        <w:rPr>
          <w:rFonts w:eastAsia="SimSun" w:cs="Times New Roman"/>
          <w:b/>
          <w:iCs/>
        </w:rPr>
      </w:pPr>
      <w:r>
        <w:rPr>
          <w:rFonts w:eastAsia="SimSun" w:cs="Times New Roman"/>
          <w:b/>
          <w:iCs/>
        </w:rPr>
        <w:br w:type="page"/>
      </w:r>
    </w:p>
    <w:p w:rsidR="00957CE7" w:rsidRPr="006F08CB" w:rsidRDefault="00957CE7" w:rsidP="006F08CB">
      <w:pPr>
        <w:keepNext/>
        <w:jc w:val="center"/>
        <w:rPr>
          <w:rFonts w:eastAsia="SimSun" w:cs="Times New Roman"/>
          <w:b/>
          <w:iCs/>
        </w:rPr>
      </w:pPr>
    </w:p>
    <w:bookmarkStart w:id="2" w:name="_Hlk137376461" w:displacedByCustomXml="next"/>
    <w:sdt>
      <w:sdtPr>
        <w:rPr>
          <w:rFonts w:eastAsiaTheme="minorHAnsi" w:cstheme="minorBidi"/>
          <w:b w:val="0"/>
          <w:iCs w:val="0"/>
          <w:szCs w:val="22"/>
        </w:rPr>
        <w:id w:val="-1785494748"/>
        <w:docPartObj>
          <w:docPartGallery w:val="Table of Contents"/>
          <w:docPartUnique/>
        </w:docPartObj>
      </w:sdtPr>
      <w:sdtEndPr>
        <w:rPr>
          <w:bCs/>
          <w:noProof/>
        </w:rPr>
      </w:sdtEndPr>
      <w:sdtContent>
        <w:p w:rsidR="00957CE7" w:rsidRPr="00E444DD" w:rsidRDefault="00957CE7" w:rsidP="00E444DD">
          <w:pPr>
            <w:pStyle w:val="Heading"/>
          </w:pPr>
          <w:r w:rsidRPr="00E444DD">
            <w:t>TABLE OF CONTENTS</w:t>
          </w:r>
        </w:p>
        <w:p w:rsidR="00553970" w:rsidRDefault="00A473A7">
          <w:pPr>
            <w:pStyle w:val="TOC1"/>
            <w:rPr>
              <w:rFonts w:asciiTheme="minorHAnsi" w:eastAsiaTheme="minorEastAsia" w:hAnsiTheme="minorHAnsi"/>
              <w:noProof/>
            </w:rPr>
          </w:pPr>
          <w:r>
            <w:rPr>
              <w:rFonts w:cs="Times New Roman"/>
              <w:b/>
              <w:bCs/>
              <w:noProof/>
            </w:rPr>
            <w:fldChar w:fldCharType="begin"/>
          </w:r>
          <w:r>
            <w:rPr>
              <w:rFonts w:cs="Times New Roman"/>
              <w:b/>
              <w:bCs/>
              <w:noProof/>
            </w:rPr>
            <w:instrText xml:space="preserve"> TOC \o "1-1" \h \z \u \t "Heading 2,2" </w:instrText>
          </w:r>
          <w:r>
            <w:rPr>
              <w:rFonts w:cs="Times New Roman"/>
              <w:b/>
              <w:bCs/>
              <w:noProof/>
            </w:rPr>
            <w:fldChar w:fldCharType="separate"/>
          </w:r>
          <w:hyperlink w:anchor="_Toc234935685" w:history="1">
            <w:r w:rsidR="00553970" w:rsidRPr="007D7C26">
              <w:rPr>
                <w:rStyle w:val="Hyperlink"/>
                <w:noProof/>
              </w:rPr>
              <w:t>1.</w:t>
            </w:r>
            <w:r w:rsidR="00553970">
              <w:rPr>
                <w:rFonts w:asciiTheme="minorHAnsi" w:eastAsiaTheme="minorEastAsia" w:hAnsiTheme="minorHAnsi"/>
                <w:noProof/>
              </w:rPr>
              <w:tab/>
            </w:r>
            <w:r w:rsidR="00553970" w:rsidRPr="007D7C26">
              <w:rPr>
                <w:rStyle w:val="Hyperlink"/>
                <w:noProof/>
              </w:rPr>
              <w:t>Purpose and Scope</w:t>
            </w:r>
            <w:r w:rsidR="00553970">
              <w:rPr>
                <w:noProof/>
                <w:webHidden/>
              </w:rPr>
              <w:tab/>
            </w:r>
            <w:r w:rsidR="00553970">
              <w:rPr>
                <w:noProof/>
                <w:webHidden/>
              </w:rPr>
              <w:fldChar w:fldCharType="begin"/>
            </w:r>
            <w:r w:rsidR="00553970">
              <w:rPr>
                <w:noProof/>
                <w:webHidden/>
              </w:rPr>
              <w:instrText xml:space="preserve"> PAGEREF _Toc234935685 \h </w:instrText>
            </w:r>
            <w:r w:rsidR="00553970">
              <w:rPr>
                <w:noProof/>
                <w:webHidden/>
              </w:rPr>
            </w:r>
            <w:r w:rsidR="00553970">
              <w:rPr>
                <w:noProof/>
                <w:webHidden/>
              </w:rPr>
              <w:fldChar w:fldCharType="separate"/>
            </w:r>
            <w:r w:rsidR="00553970">
              <w:rPr>
                <w:noProof/>
                <w:webHidden/>
              </w:rPr>
              <w:t>5</w:t>
            </w:r>
            <w:r w:rsidR="00553970">
              <w:rPr>
                <w:noProof/>
                <w:webHidden/>
              </w:rPr>
              <w:fldChar w:fldCharType="end"/>
            </w:r>
          </w:hyperlink>
        </w:p>
        <w:p w:rsidR="00553970" w:rsidRDefault="00553970">
          <w:pPr>
            <w:pStyle w:val="TOC1"/>
            <w:rPr>
              <w:rFonts w:asciiTheme="minorHAnsi" w:eastAsiaTheme="minorEastAsia" w:hAnsiTheme="minorHAnsi"/>
              <w:noProof/>
            </w:rPr>
          </w:pPr>
          <w:hyperlink w:anchor="_Toc234935686" w:history="1">
            <w:r w:rsidRPr="007D7C26">
              <w:rPr>
                <w:rStyle w:val="Hyperlink"/>
                <w:noProof/>
              </w:rPr>
              <w:t>2.</w:t>
            </w:r>
            <w:r>
              <w:rPr>
                <w:rFonts w:asciiTheme="minorHAnsi" w:eastAsiaTheme="minorEastAsia" w:hAnsiTheme="minorHAnsi"/>
                <w:noProof/>
              </w:rPr>
              <w:tab/>
            </w:r>
            <w:r w:rsidRPr="007D7C26">
              <w:rPr>
                <w:rStyle w:val="Hyperlink"/>
                <w:noProof/>
              </w:rPr>
              <w:t>Introduction</w:t>
            </w:r>
            <w:r>
              <w:rPr>
                <w:noProof/>
                <w:webHidden/>
              </w:rPr>
              <w:tab/>
            </w:r>
            <w:r>
              <w:rPr>
                <w:noProof/>
                <w:webHidden/>
              </w:rPr>
              <w:fldChar w:fldCharType="begin"/>
            </w:r>
            <w:r>
              <w:rPr>
                <w:noProof/>
                <w:webHidden/>
              </w:rPr>
              <w:instrText xml:space="preserve"> PAGEREF _Toc234935686 \h </w:instrText>
            </w:r>
            <w:r>
              <w:rPr>
                <w:noProof/>
                <w:webHidden/>
              </w:rPr>
            </w:r>
            <w:r>
              <w:rPr>
                <w:noProof/>
                <w:webHidden/>
              </w:rPr>
              <w:fldChar w:fldCharType="separate"/>
            </w:r>
            <w:r>
              <w:rPr>
                <w:noProof/>
                <w:webHidden/>
              </w:rPr>
              <w:t>5</w:t>
            </w:r>
            <w:r>
              <w:rPr>
                <w:noProof/>
                <w:webHidden/>
              </w:rPr>
              <w:fldChar w:fldCharType="end"/>
            </w:r>
          </w:hyperlink>
        </w:p>
        <w:p w:rsidR="00553970" w:rsidRDefault="00553970">
          <w:pPr>
            <w:pStyle w:val="TOC2"/>
            <w:rPr>
              <w:rFonts w:asciiTheme="minorHAnsi" w:eastAsiaTheme="minorEastAsia" w:hAnsiTheme="minorHAnsi"/>
              <w:lang w:bidi="ar-SA"/>
            </w:rPr>
          </w:pPr>
          <w:hyperlink w:anchor="_Toc234935687" w:history="1">
            <w:r w:rsidRPr="007D7C26">
              <w:rPr>
                <w:rStyle w:val="Hyperlink"/>
                <w14:scene3d>
                  <w14:camera w14:prst="orthographicFront"/>
                  <w14:lightRig w14:rig="threePt" w14:dir="t">
                    <w14:rot w14:lat="0" w14:lon="0" w14:rev="0"/>
                  </w14:lightRig>
                </w14:scene3d>
              </w:rPr>
              <w:t>2.1</w:t>
            </w:r>
            <w:r>
              <w:rPr>
                <w:rFonts w:asciiTheme="minorHAnsi" w:eastAsiaTheme="minorEastAsia" w:hAnsiTheme="minorHAnsi"/>
                <w:lang w:bidi="ar-SA"/>
              </w:rPr>
              <w:tab/>
            </w:r>
            <w:r w:rsidRPr="007D7C26">
              <w:rPr>
                <w:rStyle w:val="Hyperlink"/>
              </w:rPr>
              <w:t>Participating Groups and Interface Roles</w:t>
            </w:r>
            <w:r>
              <w:rPr>
                <w:webHidden/>
              </w:rPr>
              <w:tab/>
            </w:r>
            <w:r>
              <w:rPr>
                <w:webHidden/>
              </w:rPr>
              <w:fldChar w:fldCharType="begin"/>
            </w:r>
            <w:r>
              <w:rPr>
                <w:webHidden/>
              </w:rPr>
              <w:instrText xml:space="preserve"> PAGEREF _Toc234935687 \h </w:instrText>
            </w:r>
            <w:r>
              <w:rPr>
                <w:webHidden/>
              </w:rPr>
            </w:r>
            <w:r>
              <w:rPr>
                <w:webHidden/>
              </w:rPr>
              <w:fldChar w:fldCharType="separate"/>
            </w:r>
            <w:r>
              <w:rPr>
                <w:webHidden/>
              </w:rPr>
              <w:t>6</w:t>
            </w:r>
            <w:r>
              <w:rPr>
                <w:webHidden/>
              </w:rPr>
              <w:fldChar w:fldCharType="end"/>
            </w:r>
          </w:hyperlink>
        </w:p>
        <w:p w:rsidR="00553970" w:rsidRDefault="00553970">
          <w:pPr>
            <w:pStyle w:val="TOC2"/>
            <w:rPr>
              <w:rFonts w:asciiTheme="minorHAnsi" w:eastAsiaTheme="minorEastAsia" w:hAnsiTheme="minorHAnsi"/>
              <w:lang w:bidi="ar-SA"/>
            </w:rPr>
          </w:pPr>
          <w:hyperlink w:anchor="_Toc234935688" w:history="1">
            <w:r w:rsidRPr="007D7C26">
              <w:rPr>
                <w:rStyle w:val="Hyperlink"/>
                <w14:scene3d>
                  <w14:camera w14:prst="orthographicFront"/>
                  <w14:lightRig w14:rig="threePt" w14:dir="t">
                    <w14:rot w14:lat="0" w14:lon="0" w14:rev="0"/>
                  </w14:lightRig>
                </w14:scene3d>
              </w:rPr>
              <w:t>2.2</w:t>
            </w:r>
            <w:r>
              <w:rPr>
                <w:rFonts w:asciiTheme="minorHAnsi" w:eastAsiaTheme="minorEastAsia" w:hAnsiTheme="minorHAnsi"/>
                <w:lang w:bidi="ar-SA"/>
              </w:rPr>
              <w:tab/>
            </w:r>
            <w:r w:rsidRPr="007D7C26">
              <w:rPr>
                <w:rStyle w:val="Hyperlink"/>
              </w:rPr>
              <w:t>System Context</w:t>
            </w:r>
            <w:r>
              <w:rPr>
                <w:webHidden/>
              </w:rPr>
              <w:tab/>
            </w:r>
            <w:r>
              <w:rPr>
                <w:webHidden/>
              </w:rPr>
              <w:fldChar w:fldCharType="begin"/>
            </w:r>
            <w:r>
              <w:rPr>
                <w:webHidden/>
              </w:rPr>
              <w:instrText xml:space="preserve"> PAGEREF _Toc234935688 \h </w:instrText>
            </w:r>
            <w:r>
              <w:rPr>
                <w:webHidden/>
              </w:rPr>
            </w:r>
            <w:r>
              <w:rPr>
                <w:webHidden/>
              </w:rPr>
              <w:fldChar w:fldCharType="separate"/>
            </w:r>
            <w:r>
              <w:rPr>
                <w:webHidden/>
              </w:rPr>
              <w:t>6</w:t>
            </w:r>
            <w:r>
              <w:rPr>
                <w:webHidden/>
              </w:rPr>
              <w:fldChar w:fldCharType="end"/>
            </w:r>
          </w:hyperlink>
        </w:p>
        <w:p w:rsidR="00553970" w:rsidRDefault="00553970">
          <w:pPr>
            <w:pStyle w:val="TOC2"/>
            <w:rPr>
              <w:rFonts w:asciiTheme="minorHAnsi" w:eastAsiaTheme="minorEastAsia" w:hAnsiTheme="minorHAnsi"/>
              <w:lang w:bidi="ar-SA"/>
            </w:rPr>
          </w:pPr>
          <w:hyperlink w:anchor="_Toc234935689" w:history="1">
            <w:r w:rsidRPr="007D7C26">
              <w:rPr>
                <w:rStyle w:val="Hyperlink"/>
                <w14:scene3d>
                  <w14:camera w14:prst="orthographicFront"/>
                  <w14:lightRig w14:rig="threePt" w14:dir="t">
                    <w14:rot w14:lat="0" w14:lon="0" w14:rev="0"/>
                  </w14:lightRig>
                </w14:scene3d>
              </w:rPr>
              <w:t>2.3</w:t>
            </w:r>
            <w:r>
              <w:rPr>
                <w:rFonts w:asciiTheme="minorHAnsi" w:eastAsiaTheme="minorEastAsia" w:hAnsiTheme="minorHAnsi"/>
                <w:lang w:bidi="ar-SA"/>
              </w:rPr>
              <w:tab/>
            </w:r>
            <w:r w:rsidRPr="007D7C26">
              <w:rPr>
                <w:rStyle w:val="Hyperlink"/>
              </w:rPr>
              <w:t>Interface Between ePIC Detector and Building 1006</w:t>
            </w:r>
            <w:r>
              <w:rPr>
                <w:webHidden/>
              </w:rPr>
              <w:tab/>
            </w:r>
            <w:r>
              <w:rPr>
                <w:webHidden/>
              </w:rPr>
              <w:fldChar w:fldCharType="begin"/>
            </w:r>
            <w:r>
              <w:rPr>
                <w:webHidden/>
              </w:rPr>
              <w:instrText xml:space="preserve"> PAGEREF _Toc234935689 \h </w:instrText>
            </w:r>
            <w:r>
              <w:rPr>
                <w:webHidden/>
              </w:rPr>
            </w:r>
            <w:r>
              <w:rPr>
                <w:webHidden/>
              </w:rPr>
              <w:fldChar w:fldCharType="separate"/>
            </w:r>
            <w:r>
              <w:rPr>
                <w:webHidden/>
              </w:rPr>
              <w:t>8</w:t>
            </w:r>
            <w:r>
              <w:rPr>
                <w:webHidden/>
              </w:rPr>
              <w:fldChar w:fldCharType="end"/>
            </w:r>
          </w:hyperlink>
        </w:p>
        <w:p w:rsidR="00553970" w:rsidRDefault="00553970">
          <w:pPr>
            <w:pStyle w:val="TOC2"/>
            <w:rPr>
              <w:rFonts w:asciiTheme="minorHAnsi" w:eastAsiaTheme="minorEastAsia" w:hAnsiTheme="minorHAnsi"/>
              <w:lang w:bidi="ar-SA"/>
            </w:rPr>
          </w:pPr>
          <w:hyperlink w:anchor="_Toc234935690" w:history="1">
            <w:r w:rsidRPr="007D7C26">
              <w:rPr>
                <w:rStyle w:val="Hyperlink"/>
                <w14:scene3d>
                  <w14:camera w14:prst="orthographicFront"/>
                  <w14:lightRig w14:rig="threePt" w14:dir="t">
                    <w14:rot w14:lat="0" w14:lon="0" w14:rev="0"/>
                  </w14:lightRig>
                </w14:scene3d>
              </w:rPr>
              <w:t>2.4</w:t>
            </w:r>
            <w:r>
              <w:rPr>
                <w:rFonts w:asciiTheme="minorHAnsi" w:eastAsiaTheme="minorEastAsia" w:hAnsiTheme="minorHAnsi"/>
                <w:lang w:bidi="ar-SA"/>
              </w:rPr>
              <w:tab/>
            </w:r>
            <w:r w:rsidRPr="007D7C26">
              <w:rPr>
                <w:rStyle w:val="Hyperlink"/>
              </w:rPr>
              <w:t>Magnet Group Interfaces (Forward &amp; Rear Magnets)</w:t>
            </w:r>
            <w:r>
              <w:rPr>
                <w:webHidden/>
              </w:rPr>
              <w:tab/>
            </w:r>
            <w:r>
              <w:rPr>
                <w:webHidden/>
              </w:rPr>
              <w:fldChar w:fldCharType="begin"/>
            </w:r>
            <w:r>
              <w:rPr>
                <w:webHidden/>
              </w:rPr>
              <w:instrText xml:space="preserve"> PAGEREF _Toc234935690 \h </w:instrText>
            </w:r>
            <w:r>
              <w:rPr>
                <w:webHidden/>
              </w:rPr>
            </w:r>
            <w:r>
              <w:rPr>
                <w:webHidden/>
              </w:rPr>
              <w:fldChar w:fldCharType="separate"/>
            </w:r>
            <w:r>
              <w:rPr>
                <w:webHidden/>
              </w:rPr>
              <w:t>10</w:t>
            </w:r>
            <w:r>
              <w:rPr>
                <w:webHidden/>
              </w:rPr>
              <w:fldChar w:fldCharType="end"/>
            </w:r>
          </w:hyperlink>
        </w:p>
        <w:p w:rsidR="00553970" w:rsidRDefault="00553970">
          <w:pPr>
            <w:pStyle w:val="TOC2"/>
            <w:rPr>
              <w:rFonts w:asciiTheme="minorHAnsi" w:eastAsiaTheme="minorEastAsia" w:hAnsiTheme="minorHAnsi"/>
              <w:lang w:bidi="ar-SA"/>
            </w:rPr>
          </w:pPr>
          <w:hyperlink w:anchor="_Toc234935691" w:history="1">
            <w:r w:rsidRPr="007D7C26">
              <w:rPr>
                <w:rStyle w:val="Hyperlink"/>
                <w14:scene3d>
                  <w14:camera w14:prst="orthographicFront"/>
                  <w14:lightRig w14:rig="threePt" w14:dir="t">
                    <w14:rot w14:lat="0" w14:lon="0" w14:rev="0"/>
                  </w14:lightRig>
                </w14:scene3d>
              </w:rPr>
              <w:t>2.5</w:t>
            </w:r>
            <w:r>
              <w:rPr>
                <w:rFonts w:asciiTheme="minorHAnsi" w:eastAsiaTheme="minorEastAsia" w:hAnsiTheme="minorHAnsi"/>
                <w:lang w:bidi="ar-SA"/>
              </w:rPr>
              <w:tab/>
            </w:r>
            <w:r w:rsidRPr="007D7C26">
              <w:rPr>
                <w:rStyle w:val="Hyperlink"/>
              </w:rPr>
              <w:t>Vacuum Group Interfaces</w:t>
            </w:r>
            <w:r>
              <w:rPr>
                <w:webHidden/>
              </w:rPr>
              <w:tab/>
            </w:r>
            <w:r>
              <w:rPr>
                <w:webHidden/>
              </w:rPr>
              <w:fldChar w:fldCharType="begin"/>
            </w:r>
            <w:r>
              <w:rPr>
                <w:webHidden/>
              </w:rPr>
              <w:instrText xml:space="preserve"> PAGEREF _Toc234935691 \h </w:instrText>
            </w:r>
            <w:r>
              <w:rPr>
                <w:webHidden/>
              </w:rPr>
            </w:r>
            <w:r>
              <w:rPr>
                <w:webHidden/>
              </w:rPr>
              <w:fldChar w:fldCharType="separate"/>
            </w:r>
            <w:r>
              <w:rPr>
                <w:webHidden/>
              </w:rPr>
              <w:t>12</w:t>
            </w:r>
            <w:r>
              <w:rPr>
                <w:webHidden/>
              </w:rPr>
              <w:fldChar w:fldCharType="end"/>
            </w:r>
          </w:hyperlink>
        </w:p>
        <w:p w:rsidR="00553970" w:rsidRDefault="00553970">
          <w:pPr>
            <w:pStyle w:val="TOC2"/>
            <w:rPr>
              <w:rFonts w:asciiTheme="minorHAnsi" w:eastAsiaTheme="minorEastAsia" w:hAnsiTheme="minorHAnsi"/>
              <w:lang w:bidi="ar-SA"/>
            </w:rPr>
          </w:pPr>
          <w:hyperlink w:anchor="_Toc234935692" w:history="1">
            <w:r w:rsidRPr="007D7C26">
              <w:rPr>
                <w:rStyle w:val="Hyperlink"/>
                <w14:scene3d>
                  <w14:camera w14:prst="orthographicFront"/>
                  <w14:lightRig w14:rig="threePt" w14:dir="t">
                    <w14:rot w14:lat="0" w14:lon="0" w14:rev="0"/>
                  </w14:lightRig>
                </w14:scene3d>
              </w:rPr>
              <w:t>2.6</w:t>
            </w:r>
            <w:r>
              <w:rPr>
                <w:rFonts w:asciiTheme="minorHAnsi" w:eastAsiaTheme="minorEastAsia" w:hAnsiTheme="minorHAnsi"/>
                <w:lang w:bidi="ar-SA"/>
              </w:rPr>
              <w:tab/>
            </w:r>
            <w:r w:rsidRPr="007D7C26">
              <w:rPr>
                <w:rStyle w:val="Hyperlink"/>
              </w:rPr>
              <w:t>Power Interface</w:t>
            </w:r>
            <w:r>
              <w:rPr>
                <w:webHidden/>
              </w:rPr>
              <w:tab/>
            </w:r>
            <w:r>
              <w:rPr>
                <w:webHidden/>
              </w:rPr>
              <w:fldChar w:fldCharType="begin"/>
            </w:r>
            <w:r>
              <w:rPr>
                <w:webHidden/>
              </w:rPr>
              <w:instrText xml:space="preserve"> PAGEREF _Toc234935692 \h </w:instrText>
            </w:r>
            <w:r>
              <w:rPr>
                <w:webHidden/>
              </w:rPr>
            </w:r>
            <w:r>
              <w:rPr>
                <w:webHidden/>
              </w:rPr>
              <w:fldChar w:fldCharType="separate"/>
            </w:r>
            <w:r>
              <w:rPr>
                <w:webHidden/>
              </w:rPr>
              <w:t>14</w:t>
            </w:r>
            <w:r>
              <w:rPr>
                <w:webHidden/>
              </w:rPr>
              <w:fldChar w:fldCharType="end"/>
            </w:r>
          </w:hyperlink>
        </w:p>
        <w:p w:rsidR="00553970" w:rsidRDefault="00553970">
          <w:pPr>
            <w:pStyle w:val="TOC2"/>
            <w:rPr>
              <w:rFonts w:asciiTheme="minorHAnsi" w:eastAsiaTheme="minorEastAsia" w:hAnsiTheme="minorHAnsi"/>
              <w:lang w:bidi="ar-SA"/>
            </w:rPr>
          </w:pPr>
          <w:hyperlink w:anchor="_Toc234935693" w:history="1">
            <w:r w:rsidRPr="007D7C26">
              <w:rPr>
                <w:rStyle w:val="Hyperlink"/>
                <w14:scene3d>
                  <w14:camera w14:prst="orthographicFront"/>
                  <w14:lightRig w14:rig="threePt" w14:dir="t">
                    <w14:rot w14:lat="0" w14:lon="0" w14:rev="0"/>
                  </w14:lightRig>
                </w14:scene3d>
              </w:rPr>
              <w:t>2.7</w:t>
            </w:r>
            <w:r>
              <w:rPr>
                <w:rFonts w:asciiTheme="minorHAnsi" w:eastAsiaTheme="minorEastAsia" w:hAnsiTheme="minorHAnsi"/>
                <w:lang w:bidi="ar-SA"/>
              </w:rPr>
              <w:tab/>
            </w:r>
            <w:r w:rsidRPr="007D7C26">
              <w:rPr>
                <w:rStyle w:val="Hyperlink"/>
              </w:rPr>
              <w:t>Water Interface</w:t>
            </w:r>
            <w:r>
              <w:rPr>
                <w:webHidden/>
              </w:rPr>
              <w:tab/>
            </w:r>
            <w:r>
              <w:rPr>
                <w:webHidden/>
              </w:rPr>
              <w:fldChar w:fldCharType="begin"/>
            </w:r>
            <w:r>
              <w:rPr>
                <w:webHidden/>
              </w:rPr>
              <w:instrText xml:space="preserve"> PAGEREF _Toc234935693 \h </w:instrText>
            </w:r>
            <w:r>
              <w:rPr>
                <w:webHidden/>
              </w:rPr>
            </w:r>
            <w:r>
              <w:rPr>
                <w:webHidden/>
              </w:rPr>
              <w:fldChar w:fldCharType="separate"/>
            </w:r>
            <w:r>
              <w:rPr>
                <w:webHidden/>
              </w:rPr>
              <w:t>17</w:t>
            </w:r>
            <w:r>
              <w:rPr>
                <w:webHidden/>
              </w:rPr>
              <w:fldChar w:fldCharType="end"/>
            </w:r>
          </w:hyperlink>
        </w:p>
        <w:p w:rsidR="00553970" w:rsidRDefault="00553970">
          <w:pPr>
            <w:pStyle w:val="TOC2"/>
            <w:rPr>
              <w:rFonts w:asciiTheme="minorHAnsi" w:eastAsiaTheme="minorEastAsia" w:hAnsiTheme="minorHAnsi"/>
              <w:lang w:bidi="ar-SA"/>
            </w:rPr>
          </w:pPr>
          <w:hyperlink w:anchor="_Toc234935694" w:history="1">
            <w:r w:rsidRPr="007D7C26">
              <w:rPr>
                <w:rStyle w:val="Hyperlink"/>
                <w14:scene3d>
                  <w14:camera w14:prst="orthographicFront"/>
                  <w14:lightRig w14:rig="threePt" w14:dir="t">
                    <w14:rot w14:lat="0" w14:lon="0" w14:rev="0"/>
                  </w14:lightRig>
                </w14:scene3d>
              </w:rPr>
              <w:t>2.8</w:t>
            </w:r>
            <w:r>
              <w:rPr>
                <w:rFonts w:asciiTheme="minorHAnsi" w:eastAsiaTheme="minorEastAsia" w:hAnsiTheme="minorHAnsi"/>
                <w:lang w:bidi="ar-SA"/>
              </w:rPr>
              <w:tab/>
            </w:r>
            <w:r w:rsidRPr="007D7C26">
              <w:rPr>
                <w:rStyle w:val="Hyperlink"/>
              </w:rPr>
              <w:t>Cryogenic Interface</w:t>
            </w:r>
            <w:r>
              <w:rPr>
                <w:webHidden/>
              </w:rPr>
              <w:tab/>
            </w:r>
            <w:r>
              <w:rPr>
                <w:webHidden/>
              </w:rPr>
              <w:fldChar w:fldCharType="begin"/>
            </w:r>
            <w:r>
              <w:rPr>
                <w:webHidden/>
              </w:rPr>
              <w:instrText xml:space="preserve"> PAGEREF _Toc234935694 \h </w:instrText>
            </w:r>
            <w:r>
              <w:rPr>
                <w:webHidden/>
              </w:rPr>
            </w:r>
            <w:r>
              <w:rPr>
                <w:webHidden/>
              </w:rPr>
              <w:fldChar w:fldCharType="separate"/>
            </w:r>
            <w:r>
              <w:rPr>
                <w:webHidden/>
              </w:rPr>
              <w:t>18</w:t>
            </w:r>
            <w:r>
              <w:rPr>
                <w:webHidden/>
              </w:rPr>
              <w:fldChar w:fldCharType="end"/>
            </w:r>
          </w:hyperlink>
        </w:p>
        <w:p w:rsidR="00553970" w:rsidRDefault="00553970">
          <w:pPr>
            <w:pStyle w:val="TOC2"/>
            <w:rPr>
              <w:rFonts w:asciiTheme="minorHAnsi" w:eastAsiaTheme="minorEastAsia" w:hAnsiTheme="minorHAnsi"/>
              <w:lang w:bidi="ar-SA"/>
            </w:rPr>
          </w:pPr>
          <w:hyperlink w:anchor="_Toc234935695" w:history="1">
            <w:r w:rsidRPr="007D7C26">
              <w:rPr>
                <w:rStyle w:val="Hyperlink"/>
                <w14:scene3d>
                  <w14:camera w14:prst="orthographicFront"/>
                  <w14:lightRig w14:rig="threePt" w14:dir="t">
                    <w14:rot w14:lat="0" w14:lon="0" w14:rev="0"/>
                  </w14:lightRig>
                </w14:scene3d>
              </w:rPr>
              <w:t>2.9</w:t>
            </w:r>
            <w:r>
              <w:rPr>
                <w:rFonts w:asciiTheme="minorHAnsi" w:eastAsiaTheme="minorEastAsia" w:hAnsiTheme="minorHAnsi"/>
                <w:lang w:bidi="ar-SA"/>
              </w:rPr>
              <w:tab/>
            </w:r>
            <w:r w:rsidRPr="007D7C26">
              <w:rPr>
                <w:rStyle w:val="Hyperlink"/>
              </w:rPr>
              <w:t>Safety/ES&amp;H Interfaces</w:t>
            </w:r>
            <w:r>
              <w:rPr>
                <w:webHidden/>
              </w:rPr>
              <w:tab/>
            </w:r>
            <w:r>
              <w:rPr>
                <w:webHidden/>
              </w:rPr>
              <w:fldChar w:fldCharType="begin"/>
            </w:r>
            <w:r>
              <w:rPr>
                <w:webHidden/>
              </w:rPr>
              <w:instrText xml:space="preserve"> PAGEREF _Toc234935695 \h </w:instrText>
            </w:r>
            <w:r>
              <w:rPr>
                <w:webHidden/>
              </w:rPr>
            </w:r>
            <w:r>
              <w:rPr>
                <w:webHidden/>
              </w:rPr>
              <w:fldChar w:fldCharType="separate"/>
            </w:r>
            <w:r>
              <w:rPr>
                <w:webHidden/>
              </w:rPr>
              <w:t>20</w:t>
            </w:r>
            <w:r>
              <w:rPr>
                <w:webHidden/>
              </w:rPr>
              <w:fldChar w:fldCharType="end"/>
            </w:r>
          </w:hyperlink>
        </w:p>
        <w:p w:rsidR="00553970" w:rsidRDefault="00553970">
          <w:pPr>
            <w:pStyle w:val="TOC2"/>
            <w:rPr>
              <w:rFonts w:asciiTheme="minorHAnsi" w:eastAsiaTheme="minorEastAsia" w:hAnsiTheme="minorHAnsi"/>
              <w:lang w:bidi="ar-SA"/>
            </w:rPr>
          </w:pPr>
          <w:hyperlink w:anchor="_Toc234935696" w:history="1">
            <w:r w:rsidRPr="007D7C26">
              <w:rPr>
                <w:rStyle w:val="Hyperlink"/>
                <w14:scene3d>
                  <w14:camera w14:prst="orthographicFront"/>
                  <w14:lightRig w14:rig="threePt" w14:dir="t">
                    <w14:rot w14:lat="0" w14:lon="0" w14:rev="0"/>
                  </w14:lightRig>
                </w14:scene3d>
              </w:rPr>
              <w:t>2.10</w:t>
            </w:r>
            <w:r>
              <w:rPr>
                <w:rFonts w:asciiTheme="minorHAnsi" w:eastAsiaTheme="minorEastAsia" w:hAnsiTheme="minorHAnsi"/>
                <w:lang w:bidi="ar-SA"/>
              </w:rPr>
              <w:tab/>
            </w:r>
            <w:r w:rsidRPr="007D7C26">
              <w:rPr>
                <w:rStyle w:val="Hyperlink"/>
              </w:rPr>
              <w:t>Concerns and Mitigation</w:t>
            </w:r>
            <w:r>
              <w:rPr>
                <w:webHidden/>
              </w:rPr>
              <w:tab/>
            </w:r>
            <w:r>
              <w:rPr>
                <w:webHidden/>
              </w:rPr>
              <w:fldChar w:fldCharType="begin"/>
            </w:r>
            <w:r>
              <w:rPr>
                <w:webHidden/>
              </w:rPr>
              <w:instrText xml:space="preserve"> PAGEREF _Toc234935696 \h </w:instrText>
            </w:r>
            <w:r>
              <w:rPr>
                <w:webHidden/>
              </w:rPr>
            </w:r>
            <w:r>
              <w:rPr>
                <w:webHidden/>
              </w:rPr>
              <w:fldChar w:fldCharType="separate"/>
            </w:r>
            <w:r>
              <w:rPr>
                <w:webHidden/>
              </w:rPr>
              <w:t>23</w:t>
            </w:r>
            <w:r>
              <w:rPr>
                <w:webHidden/>
              </w:rPr>
              <w:fldChar w:fldCharType="end"/>
            </w:r>
          </w:hyperlink>
        </w:p>
        <w:p w:rsidR="00553970" w:rsidRDefault="00553970">
          <w:pPr>
            <w:pStyle w:val="TOC2"/>
            <w:rPr>
              <w:rFonts w:asciiTheme="minorHAnsi" w:eastAsiaTheme="minorEastAsia" w:hAnsiTheme="minorHAnsi"/>
              <w:lang w:bidi="ar-SA"/>
            </w:rPr>
          </w:pPr>
          <w:hyperlink w:anchor="_Toc234935697" w:history="1">
            <w:r w:rsidRPr="007D7C26">
              <w:rPr>
                <w:rStyle w:val="Hyperlink"/>
                <w14:scene3d>
                  <w14:camera w14:prst="orthographicFront"/>
                  <w14:lightRig w14:rig="threePt" w14:dir="t">
                    <w14:rot w14:lat="0" w14:lon="0" w14:rev="0"/>
                  </w14:lightRig>
                </w14:scene3d>
              </w:rPr>
              <w:t>2.11</w:t>
            </w:r>
            <w:r>
              <w:rPr>
                <w:rFonts w:asciiTheme="minorHAnsi" w:eastAsiaTheme="minorEastAsia" w:hAnsiTheme="minorHAnsi"/>
                <w:lang w:bidi="ar-SA"/>
              </w:rPr>
              <w:tab/>
            </w:r>
            <w:r w:rsidRPr="007D7C26">
              <w:rPr>
                <w:rStyle w:val="Hyperlink"/>
              </w:rPr>
              <w:t>Organization</w:t>
            </w:r>
            <w:r>
              <w:rPr>
                <w:webHidden/>
              </w:rPr>
              <w:tab/>
            </w:r>
            <w:r>
              <w:rPr>
                <w:webHidden/>
              </w:rPr>
              <w:fldChar w:fldCharType="begin"/>
            </w:r>
            <w:r>
              <w:rPr>
                <w:webHidden/>
              </w:rPr>
              <w:instrText xml:space="preserve"> PAGEREF _Toc234935697 \h </w:instrText>
            </w:r>
            <w:r>
              <w:rPr>
                <w:webHidden/>
              </w:rPr>
            </w:r>
            <w:r>
              <w:rPr>
                <w:webHidden/>
              </w:rPr>
              <w:fldChar w:fldCharType="separate"/>
            </w:r>
            <w:r>
              <w:rPr>
                <w:webHidden/>
              </w:rPr>
              <w:t>25</w:t>
            </w:r>
            <w:r>
              <w:rPr>
                <w:webHidden/>
              </w:rPr>
              <w:fldChar w:fldCharType="end"/>
            </w:r>
          </w:hyperlink>
        </w:p>
        <w:p w:rsidR="00553970" w:rsidRDefault="00553970">
          <w:pPr>
            <w:pStyle w:val="TOC1"/>
            <w:rPr>
              <w:rFonts w:asciiTheme="minorHAnsi" w:eastAsiaTheme="minorEastAsia" w:hAnsiTheme="minorHAnsi"/>
              <w:noProof/>
            </w:rPr>
          </w:pPr>
          <w:hyperlink w:anchor="_Toc234935698" w:history="1">
            <w:r w:rsidRPr="007D7C26">
              <w:rPr>
                <w:rStyle w:val="Hyperlink"/>
                <w:noProof/>
              </w:rPr>
              <w:t>3.</w:t>
            </w:r>
            <w:r>
              <w:rPr>
                <w:rFonts w:asciiTheme="minorHAnsi" w:eastAsiaTheme="minorEastAsia" w:hAnsiTheme="minorHAnsi"/>
                <w:noProof/>
              </w:rPr>
              <w:tab/>
            </w:r>
            <w:r w:rsidRPr="007D7C26">
              <w:rPr>
                <w:rStyle w:val="Hyperlink"/>
                <w:noProof/>
              </w:rPr>
              <w:t>Interface summary</w:t>
            </w:r>
            <w:r>
              <w:rPr>
                <w:noProof/>
                <w:webHidden/>
              </w:rPr>
              <w:tab/>
            </w:r>
            <w:r>
              <w:rPr>
                <w:noProof/>
                <w:webHidden/>
              </w:rPr>
              <w:fldChar w:fldCharType="begin"/>
            </w:r>
            <w:r>
              <w:rPr>
                <w:noProof/>
                <w:webHidden/>
              </w:rPr>
              <w:instrText xml:space="preserve"> PAGEREF _Toc234935698 \h </w:instrText>
            </w:r>
            <w:r>
              <w:rPr>
                <w:noProof/>
                <w:webHidden/>
              </w:rPr>
            </w:r>
            <w:r>
              <w:rPr>
                <w:noProof/>
                <w:webHidden/>
              </w:rPr>
              <w:fldChar w:fldCharType="separate"/>
            </w:r>
            <w:r>
              <w:rPr>
                <w:noProof/>
                <w:webHidden/>
              </w:rPr>
              <w:t>25</w:t>
            </w:r>
            <w:r>
              <w:rPr>
                <w:noProof/>
                <w:webHidden/>
              </w:rPr>
              <w:fldChar w:fldCharType="end"/>
            </w:r>
          </w:hyperlink>
        </w:p>
        <w:p w:rsidR="00553970" w:rsidRDefault="00553970">
          <w:pPr>
            <w:pStyle w:val="TOC1"/>
            <w:rPr>
              <w:rFonts w:asciiTheme="minorHAnsi" w:eastAsiaTheme="minorEastAsia" w:hAnsiTheme="minorHAnsi"/>
              <w:noProof/>
            </w:rPr>
          </w:pPr>
          <w:hyperlink w:anchor="_Toc234935699" w:history="1">
            <w:r w:rsidRPr="007D7C26">
              <w:rPr>
                <w:rStyle w:val="Hyperlink"/>
                <w:noProof/>
              </w:rPr>
              <w:t>4.</w:t>
            </w:r>
            <w:r>
              <w:rPr>
                <w:rFonts w:asciiTheme="minorHAnsi" w:eastAsiaTheme="minorEastAsia" w:hAnsiTheme="minorHAnsi"/>
                <w:noProof/>
              </w:rPr>
              <w:tab/>
            </w:r>
            <w:r w:rsidRPr="007D7C26">
              <w:rPr>
                <w:rStyle w:val="Hyperlink"/>
                <w:noProof/>
              </w:rPr>
              <w:t>Detector Infrastructure Systems (DET-INF) to BNL Portfolio FIPD (BNL-FIPD)</w:t>
            </w:r>
            <w:r>
              <w:rPr>
                <w:noProof/>
                <w:webHidden/>
              </w:rPr>
              <w:tab/>
            </w:r>
            <w:r>
              <w:rPr>
                <w:noProof/>
                <w:webHidden/>
              </w:rPr>
              <w:fldChar w:fldCharType="begin"/>
            </w:r>
            <w:r>
              <w:rPr>
                <w:noProof/>
                <w:webHidden/>
              </w:rPr>
              <w:instrText xml:space="preserve"> PAGEREF _Toc234935699 \h </w:instrText>
            </w:r>
            <w:r>
              <w:rPr>
                <w:noProof/>
                <w:webHidden/>
              </w:rPr>
            </w:r>
            <w:r>
              <w:rPr>
                <w:noProof/>
                <w:webHidden/>
              </w:rPr>
              <w:fldChar w:fldCharType="separate"/>
            </w:r>
            <w:r>
              <w:rPr>
                <w:noProof/>
                <w:webHidden/>
              </w:rPr>
              <w:t>27</w:t>
            </w:r>
            <w:r>
              <w:rPr>
                <w:noProof/>
                <w:webHidden/>
              </w:rPr>
              <w:fldChar w:fldCharType="end"/>
            </w:r>
          </w:hyperlink>
        </w:p>
        <w:p w:rsidR="00553970" w:rsidRDefault="00553970">
          <w:pPr>
            <w:pStyle w:val="TOC1"/>
            <w:rPr>
              <w:rFonts w:asciiTheme="minorHAnsi" w:eastAsiaTheme="minorEastAsia" w:hAnsiTheme="minorHAnsi"/>
              <w:noProof/>
            </w:rPr>
          </w:pPr>
          <w:hyperlink w:anchor="_Toc234935700" w:history="1">
            <w:r w:rsidRPr="007D7C26">
              <w:rPr>
                <w:rStyle w:val="Hyperlink"/>
                <w:noProof/>
              </w:rPr>
              <w:t>5.</w:t>
            </w:r>
            <w:r>
              <w:rPr>
                <w:rFonts w:asciiTheme="minorHAnsi" w:eastAsiaTheme="minorEastAsia" w:hAnsiTheme="minorHAnsi"/>
                <w:noProof/>
              </w:rPr>
              <w:tab/>
            </w:r>
            <w:r w:rsidRPr="007D7C26">
              <w:rPr>
                <w:rStyle w:val="Hyperlink"/>
                <w:noProof/>
              </w:rPr>
              <w:t>Applicable Documents</w:t>
            </w:r>
            <w:r>
              <w:rPr>
                <w:noProof/>
                <w:webHidden/>
              </w:rPr>
              <w:tab/>
            </w:r>
            <w:r>
              <w:rPr>
                <w:noProof/>
                <w:webHidden/>
              </w:rPr>
              <w:fldChar w:fldCharType="begin"/>
            </w:r>
            <w:r>
              <w:rPr>
                <w:noProof/>
                <w:webHidden/>
              </w:rPr>
              <w:instrText xml:space="preserve"> PAGEREF _Toc234935700 \h </w:instrText>
            </w:r>
            <w:r>
              <w:rPr>
                <w:noProof/>
                <w:webHidden/>
              </w:rPr>
            </w:r>
            <w:r>
              <w:rPr>
                <w:noProof/>
                <w:webHidden/>
              </w:rPr>
              <w:fldChar w:fldCharType="separate"/>
            </w:r>
            <w:r>
              <w:rPr>
                <w:noProof/>
                <w:webHidden/>
              </w:rPr>
              <w:t>29</w:t>
            </w:r>
            <w:r>
              <w:rPr>
                <w:noProof/>
                <w:webHidden/>
              </w:rPr>
              <w:fldChar w:fldCharType="end"/>
            </w:r>
          </w:hyperlink>
        </w:p>
        <w:p w:rsidR="00553970" w:rsidRDefault="00553970">
          <w:pPr>
            <w:pStyle w:val="TOC1"/>
            <w:rPr>
              <w:rFonts w:asciiTheme="minorHAnsi" w:eastAsiaTheme="minorEastAsia" w:hAnsiTheme="minorHAnsi"/>
              <w:noProof/>
            </w:rPr>
          </w:pPr>
          <w:hyperlink w:anchor="_Toc234935701" w:history="1">
            <w:r w:rsidRPr="007D7C26">
              <w:rPr>
                <w:rStyle w:val="Hyperlink"/>
                <w:noProof/>
              </w:rPr>
              <w:t>6.</w:t>
            </w:r>
            <w:r>
              <w:rPr>
                <w:rFonts w:asciiTheme="minorHAnsi" w:eastAsiaTheme="minorEastAsia" w:hAnsiTheme="minorHAnsi"/>
                <w:noProof/>
              </w:rPr>
              <w:tab/>
            </w:r>
            <w:r w:rsidRPr="007D7C26">
              <w:rPr>
                <w:rStyle w:val="Hyperlink"/>
                <w:noProof/>
              </w:rPr>
              <w:t>Detailed change Log</w:t>
            </w:r>
            <w:r>
              <w:rPr>
                <w:noProof/>
                <w:webHidden/>
              </w:rPr>
              <w:tab/>
            </w:r>
            <w:r>
              <w:rPr>
                <w:noProof/>
                <w:webHidden/>
              </w:rPr>
              <w:fldChar w:fldCharType="begin"/>
            </w:r>
            <w:r>
              <w:rPr>
                <w:noProof/>
                <w:webHidden/>
              </w:rPr>
              <w:instrText xml:space="preserve"> PAGEREF _Toc234935701 \h </w:instrText>
            </w:r>
            <w:r>
              <w:rPr>
                <w:noProof/>
                <w:webHidden/>
              </w:rPr>
            </w:r>
            <w:r>
              <w:rPr>
                <w:noProof/>
                <w:webHidden/>
              </w:rPr>
              <w:fldChar w:fldCharType="separate"/>
            </w:r>
            <w:r>
              <w:rPr>
                <w:noProof/>
                <w:webHidden/>
              </w:rPr>
              <w:t>29</w:t>
            </w:r>
            <w:r>
              <w:rPr>
                <w:noProof/>
                <w:webHidden/>
              </w:rPr>
              <w:fldChar w:fldCharType="end"/>
            </w:r>
          </w:hyperlink>
        </w:p>
        <w:p w:rsidR="00553970" w:rsidRDefault="00553970">
          <w:pPr>
            <w:pStyle w:val="TOC1"/>
            <w:rPr>
              <w:rFonts w:asciiTheme="minorHAnsi" w:eastAsiaTheme="minorEastAsia" w:hAnsiTheme="minorHAnsi"/>
              <w:noProof/>
            </w:rPr>
          </w:pPr>
          <w:hyperlink w:anchor="_Toc234935702" w:history="1">
            <w:r w:rsidRPr="007D7C26">
              <w:rPr>
                <w:rStyle w:val="Hyperlink"/>
                <w:noProof/>
              </w:rPr>
              <w:t>7.</w:t>
            </w:r>
            <w:r>
              <w:rPr>
                <w:rFonts w:asciiTheme="minorHAnsi" w:eastAsiaTheme="minorEastAsia" w:hAnsiTheme="minorHAnsi"/>
                <w:noProof/>
              </w:rPr>
              <w:tab/>
            </w:r>
            <w:r w:rsidRPr="007D7C26">
              <w:rPr>
                <w:rStyle w:val="Hyperlink"/>
                <w:noProof/>
              </w:rPr>
              <w:t>References</w:t>
            </w:r>
            <w:r>
              <w:rPr>
                <w:noProof/>
                <w:webHidden/>
              </w:rPr>
              <w:tab/>
            </w:r>
            <w:r>
              <w:rPr>
                <w:noProof/>
                <w:webHidden/>
              </w:rPr>
              <w:fldChar w:fldCharType="begin"/>
            </w:r>
            <w:r>
              <w:rPr>
                <w:noProof/>
                <w:webHidden/>
              </w:rPr>
              <w:instrText xml:space="preserve"> PAGEREF _Toc234935702 \h </w:instrText>
            </w:r>
            <w:r>
              <w:rPr>
                <w:noProof/>
                <w:webHidden/>
              </w:rPr>
            </w:r>
            <w:r>
              <w:rPr>
                <w:noProof/>
                <w:webHidden/>
              </w:rPr>
              <w:fldChar w:fldCharType="separate"/>
            </w:r>
            <w:r>
              <w:rPr>
                <w:noProof/>
                <w:webHidden/>
              </w:rPr>
              <w:t>29</w:t>
            </w:r>
            <w:r>
              <w:rPr>
                <w:noProof/>
                <w:webHidden/>
              </w:rPr>
              <w:fldChar w:fldCharType="end"/>
            </w:r>
          </w:hyperlink>
        </w:p>
        <w:p w:rsidR="00957CE7" w:rsidRPr="00AB7321" w:rsidRDefault="00A473A7">
          <w:pPr>
            <w:rPr>
              <w:rFonts w:cs="Times New Roman"/>
            </w:rPr>
          </w:pPr>
          <w:r>
            <w:rPr>
              <w:rFonts w:cs="Times New Roman"/>
              <w:b/>
              <w:bCs/>
              <w:noProof/>
              <w:sz w:val="20"/>
            </w:rPr>
            <w:fldChar w:fldCharType="end"/>
          </w:r>
        </w:p>
      </w:sdtContent>
    </w:sdt>
    <w:bookmarkEnd w:id="2"/>
    <w:p w:rsidR="00A142C9" w:rsidRDefault="00A142C9">
      <w:pPr>
        <w:spacing w:line="276" w:lineRule="auto"/>
        <w:rPr>
          <w:rFonts w:eastAsia="SimSun" w:cs="Times New Roman"/>
          <w:b/>
          <w:iCs/>
        </w:rPr>
      </w:pPr>
      <w:r>
        <w:rPr>
          <w:rFonts w:eastAsia="SimSun" w:cs="Times New Roman"/>
          <w:b/>
          <w:iCs/>
        </w:rPr>
        <w:br w:type="page"/>
      </w:r>
    </w:p>
    <w:p w:rsidR="006F08CB" w:rsidRPr="00E444DD" w:rsidRDefault="00357127" w:rsidP="00E444DD">
      <w:pPr>
        <w:pStyle w:val="Heading"/>
      </w:pPr>
      <w:r>
        <w:lastRenderedPageBreak/>
        <w:t xml:space="preserve">LIST OF </w:t>
      </w:r>
      <w:r w:rsidR="00AB4969" w:rsidRPr="00AB4969">
        <w:t>ACRONYMS</w:t>
      </w:r>
    </w:p>
    <w:tbl>
      <w:tblPr>
        <w:tblW w:w="0" w:type="auto"/>
        <w:tblLook w:val="04A0" w:firstRow="1" w:lastRow="0" w:firstColumn="1" w:lastColumn="0" w:noHBand="0" w:noVBand="1"/>
      </w:tblPr>
      <w:tblGrid>
        <w:gridCol w:w="1698"/>
        <w:gridCol w:w="7407"/>
        <w:gridCol w:w="255"/>
      </w:tblGrid>
      <w:tr w:rsidR="003E6B78" w:rsidRPr="00A22225" w:rsidTr="00FE0421">
        <w:trPr>
          <w:trHeight w:val="288"/>
        </w:trPr>
        <w:tc>
          <w:tcPr>
            <w:tcW w:w="1698" w:type="dxa"/>
          </w:tcPr>
          <w:p w:rsidR="003E6B78" w:rsidRPr="00AB7321" w:rsidRDefault="000533A6" w:rsidP="00FE0421">
            <w:pPr>
              <w:tabs>
                <w:tab w:val="left" w:pos="866"/>
              </w:tabs>
              <w:spacing w:line="276" w:lineRule="auto"/>
              <w:ind w:left="870" w:hanging="870"/>
            </w:pPr>
            <w:bookmarkStart w:id="3" w:name="_Hlk137375973"/>
            <w:r>
              <w:t>B0</w:t>
            </w:r>
          </w:p>
        </w:tc>
        <w:tc>
          <w:tcPr>
            <w:tcW w:w="7407" w:type="dxa"/>
          </w:tcPr>
          <w:p w:rsidR="003E6B78" w:rsidRPr="00AB7321" w:rsidRDefault="000533A6" w:rsidP="00FE0421">
            <w:pPr>
              <w:tabs>
                <w:tab w:val="left" w:pos="866"/>
              </w:tabs>
              <w:spacing w:line="276" w:lineRule="auto"/>
              <w:ind w:left="870" w:hanging="870"/>
            </w:pPr>
            <w:r>
              <w:t>B0 is the name of the forward magnet just past the Hadron Endcap</w:t>
            </w:r>
            <w:r w:rsidR="003E6B78" w:rsidRPr="00AB7321">
              <w:t xml:space="preserve"> </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CDR</w:t>
            </w:r>
          </w:p>
        </w:tc>
        <w:tc>
          <w:tcPr>
            <w:tcW w:w="7407" w:type="dxa"/>
          </w:tcPr>
          <w:p w:rsidR="000533A6" w:rsidRPr="00AB7321" w:rsidRDefault="000533A6" w:rsidP="00FE0421">
            <w:pPr>
              <w:tabs>
                <w:tab w:val="left" w:pos="866"/>
              </w:tabs>
              <w:spacing w:line="276" w:lineRule="auto"/>
              <w:ind w:left="870" w:hanging="870"/>
            </w:pPr>
            <w:r w:rsidRPr="00AB7321">
              <w:t>Concept</w:t>
            </w:r>
            <w:r>
              <w:t>u</w:t>
            </w:r>
            <w:r w:rsidRPr="00AB7321">
              <w:t>al Design Report</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COTS</w:t>
            </w:r>
          </w:p>
        </w:tc>
        <w:tc>
          <w:tcPr>
            <w:tcW w:w="7407" w:type="dxa"/>
          </w:tcPr>
          <w:p w:rsidR="003E6B78" w:rsidRPr="00AB7321" w:rsidRDefault="003E6B78" w:rsidP="00FE0421">
            <w:pPr>
              <w:tabs>
                <w:tab w:val="left" w:pos="866"/>
              </w:tabs>
              <w:spacing w:line="276" w:lineRule="auto"/>
            </w:pPr>
            <w:r w:rsidRPr="00AB7321">
              <w:t xml:space="preserve">Commercial Off the Shelf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DAQ</w:t>
            </w:r>
          </w:p>
        </w:tc>
        <w:tc>
          <w:tcPr>
            <w:tcW w:w="7407" w:type="dxa"/>
          </w:tcPr>
          <w:p w:rsidR="003E6B78" w:rsidRPr="00AB7321" w:rsidRDefault="003E6B78" w:rsidP="00FE0421">
            <w:pPr>
              <w:tabs>
                <w:tab w:val="left" w:pos="866"/>
              </w:tabs>
              <w:spacing w:line="276" w:lineRule="auto"/>
              <w:ind w:left="870" w:hanging="870"/>
            </w:pPr>
            <w:r w:rsidRPr="00AB7321">
              <w:t>Data Acquisition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DET</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EIC Detector</w:t>
            </w:r>
          </w:p>
        </w:tc>
        <w:tc>
          <w:tcPr>
            <w:tcW w:w="255" w:type="dxa"/>
          </w:tcPr>
          <w:p w:rsidR="003E6B78" w:rsidRPr="00A22225" w:rsidRDefault="003E6B78" w:rsidP="00FE0421">
            <w:pPr>
              <w:spacing w:line="276" w:lineRule="auto"/>
              <w:ind w:left="870" w:hanging="870"/>
            </w:pPr>
          </w:p>
        </w:tc>
      </w:tr>
      <w:tr w:rsidR="003E6B78" w:rsidRPr="00A22225" w:rsidTr="00FE0421">
        <w:trPr>
          <w:trHeight w:val="90"/>
        </w:trPr>
        <w:tc>
          <w:tcPr>
            <w:tcW w:w="1698" w:type="dxa"/>
          </w:tcPr>
          <w:p w:rsidR="003E6B78" w:rsidRPr="00AB7321" w:rsidRDefault="003E6B78" w:rsidP="00FE0421">
            <w:pPr>
              <w:tabs>
                <w:tab w:val="left" w:pos="866"/>
              </w:tabs>
              <w:spacing w:line="276" w:lineRule="auto"/>
              <w:ind w:left="870" w:hanging="870"/>
            </w:pPr>
            <w:r w:rsidRPr="00AB7321">
              <w:t>DIRC</w:t>
            </w:r>
          </w:p>
        </w:tc>
        <w:tc>
          <w:tcPr>
            <w:tcW w:w="7407" w:type="dxa"/>
          </w:tcPr>
          <w:p w:rsidR="003E6B78" w:rsidRPr="00AB7321" w:rsidRDefault="003E6B78" w:rsidP="00FE0421">
            <w:pPr>
              <w:tabs>
                <w:tab w:val="left" w:pos="866"/>
              </w:tabs>
              <w:spacing w:line="276" w:lineRule="auto"/>
              <w:ind w:left="870" w:hanging="870"/>
            </w:pPr>
            <w:r>
              <w:t>Detection of Internally Reflected Cherenkov Light</w:t>
            </w:r>
          </w:p>
        </w:tc>
        <w:tc>
          <w:tcPr>
            <w:tcW w:w="255" w:type="dxa"/>
          </w:tcPr>
          <w:p w:rsidR="003E6B78" w:rsidRPr="00A22225" w:rsidRDefault="003E6B78" w:rsidP="00FE0421">
            <w:pPr>
              <w:spacing w:line="276" w:lineRule="auto"/>
              <w:ind w:left="870" w:hanging="870"/>
            </w:pPr>
          </w:p>
        </w:tc>
      </w:tr>
      <w:tr w:rsidR="0032215C" w:rsidRPr="00A22225" w:rsidTr="00FE0421">
        <w:trPr>
          <w:trHeight w:val="90"/>
        </w:trPr>
        <w:tc>
          <w:tcPr>
            <w:tcW w:w="1698" w:type="dxa"/>
          </w:tcPr>
          <w:p w:rsidR="0032215C" w:rsidRPr="0032215C" w:rsidRDefault="0032215C" w:rsidP="00FE0421">
            <w:pPr>
              <w:tabs>
                <w:tab w:val="left" w:pos="866"/>
              </w:tabs>
              <w:spacing w:line="276" w:lineRule="auto"/>
              <w:ind w:left="870" w:hanging="870"/>
            </w:pPr>
            <w:r w:rsidRPr="0032215C">
              <w:t>dRICH</w:t>
            </w:r>
          </w:p>
        </w:tc>
        <w:tc>
          <w:tcPr>
            <w:tcW w:w="7407" w:type="dxa"/>
          </w:tcPr>
          <w:p w:rsidR="0032215C" w:rsidRPr="0032215C" w:rsidRDefault="0032215C" w:rsidP="00FE0421">
            <w:pPr>
              <w:tabs>
                <w:tab w:val="left" w:pos="866"/>
              </w:tabs>
              <w:spacing w:line="276" w:lineRule="auto"/>
              <w:ind w:left="870" w:hanging="870"/>
            </w:pPr>
            <w:r>
              <w:t>Dual radiator ring imaging Cherenkov</w:t>
            </w:r>
          </w:p>
        </w:tc>
        <w:tc>
          <w:tcPr>
            <w:tcW w:w="255" w:type="dxa"/>
          </w:tcPr>
          <w:p w:rsidR="0032215C" w:rsidRPr="00A22225" w:rsidRDefault="0032215C"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DVCS</w:t>
            </w:r>
          </w:p>
        </w:tc>
        <w:tc>
          <w:tcPr>
            <w:tcW w:w="7407" w:type="dxa"/>
          </w:tcPr>
          <w:p w:rsidR="003E6B78" w:rsidRPr="00AB7321" w:rsidRDefault="003E6B78" w:rsidP="00FE0421">
            <w:pPr>
              <w:tabs>
                <w:tab w:val="left" w:pos="866"/>
              </w:tabs>
              <w:spacing w:line="276" w:lineRule="auto"/>
              <w:ind w:left="870" w:hanging="870"/>
            </w:pPr>
            <w:r>
              <w:t>Deeply Virtual Compton Scattering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Default="003E6B78" w:rsidP="00FE0421">
            <w:pPr>
              <w:tabs>
                <w:tab w:val="left" w:pos="866"/>
              </w:tabs>
              <w:spacing w:line="276" w:lineRule="auto"/>
              <w:ind w:left="870" w:hanging="870"/>
            </w:pPr>
            <w:r w:rsidRPr="00AB7321">
              <w:t>EIC</w:t>
            </w:r>
          </w:p>
          <w:p w:rsidR="00211E08" w:rsidRPr="00AB7321" w:rsidRDefault="00211E08" w:rsidP="00FE0421">
            <w:pPr>
              <w:tabs>
                <w:tab w:val="left" w:pos="866"/>
              </w:tabs>
              <w:spacing w:line="276" w:lineRule="auto"/>
              <w:ind w:left="870" w:hanging="870"/>
            </w:pPr>
            <w:r>
              <w:t>EIG</w:t>
            </w:r>
          </w:p>
        </w:tc>
        <w:tc>
          <w:tcPr>
            <w:tcW w:w="7407" w:type="dxa"/>
          </w:tcPr>
          <w:p w:rsidR="003E6B78" w:rsidRDefault="003E6B78" w:rsidP="00FE0421">
            <w:pPr>
              <w:tabs>
                <w:tab w:val="left" w:pos="866"/>
              </w:tabs>
              <w:spacing w:line="276" w:lineRule="auto"/>
            </w:pPr>
            <w:r w:rsidRPr="00AB7321">
              <w:t>Electron-Ion Collider</w:t>
            </w:r>
          </w:p>
          <w:p w:rsidR="00211E08" w:rsidRPr="00AB7321" w:rsidRDefault="00211E08" w:rsidP="00FE0421">
            <w:pPr>
              <w:tabs>
                <w:tab w:val="left" w:pos="866"/>
              </w:tabs>
              <w:spacing w:line="276" w:lineRule="auto"/>
            </w:pPr>
            <w:r>
              <w:t>EIC Infrastructure Group</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EMCAL</w:t>
            </w:r>
          </w:p>
        </w:tc>
        <w:tc>
          <w:tcPr>
            <w:tcW w:w="7407" w:type="dxa"/>
          </w:tcPr>
          <w:p w:rsidR="003E6B78" w:rsidRPr="00AB7321" w:rsidRDefault="003E6B78" w:rsidP="00FE0421">
            <w:pPr>
              <w:tabs>
                <w:tab w:val="left" w:pos="866"/>
              </w:tabs>
              <w:spacing w:line="276" w:lineRule="auto"/>
            </w:pPr>
            <w:r>
              <w:t>Electro-magnetic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ESR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Electron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FCC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Federal Communications Commission</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Default="000533A6" w:rsidP="00FE0421">
            <w:pPr>
              <w:tabs>
                <w:tab w:val="left" w:pos="866"/>
              </w:tabs>
              <w:spacing w:line="276" w:lineRule="auto"/>
              <w:ind w:left="870" w:hanging="870"/>
            </w:pPr>
            <w:r>
              <w:t>FDR</w:t>
            </w:r>
          </w:p>
          <w:p w:rsidR="00211E08" w:rsidRPr="00AB7321" w:rsidRDefault="00211E08" w:rsidP="00FE0421">
            <w:pPr>
              <w:tabs>
                <w:tab w:val="left" w:pos="866"/>
              </w:tabs>
              <w:spacing w:line="276" w:lineRule="auto"/>
              <w:ind w:left="870" w:hanging="870"/>
            </w:pPr>
            <w:r>
              <w:t>FIPD</w:t>
            </w:r>
          </w:p>
        </w:tc>
        <w:tc>
          <w:tcPr>
            <w:tcW w:w="7407" w:type="dxa"/>
          </w:tcPr>
          <w:p w:rsidR="000533A6" w:rsidRDefault="000533A6" w:rsidP="00FE0421">
            <w:pPr>
              <w:tabs>
                <w:tab w:val="left" w:pos="866"/>
              </w:tabs>
              <w:spacing w:line="276" w:lineRule="auto"/>
              <w:ind w:left="870" w:hanging="870"/>
              <w:rPr>
                <w:color w:val="000000"/>
              </w:rPr>
            </w:pPr>
            <w:r>
              <w:rPr>
                <w:color w:val="000000"/>
              </w:rPr>
              <w:t xml:space="preserve">Final Design Review </w:t>
            </w:r>
          </w:p>
          <w:p w:rsidR="00211E08" w:rsidRDefault="00211E08" w:rsidP="00FE0421">
            <w:pPr>
              <w:tabs>
                <w:tab w:val="left" w:pos="866"/>
              </w:tabs>
              <w:spacing w:line="276" w:lineRule="auto"/>
              <w:ind w:left="870" w:hanging="870"/>
              <w:rPr>
                <w:color w:val="000000"/>
              </w:rPr>
            </w:pPr>
            <w:r>
              <w:rPr>
                <w:color w:val="000000"/>
              </w:rPr>
              <w:t>Fundamental Interaction and Particle Directorate</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GEM</w:t>
            </w:r>
          </w:p>
        </w:tc>
        <w:tc>
          <w:tcPr>
            <w:tcW w:w="7407" w:type="dxa"/>
          </w:tcPr>
          <w:p w:rsidR="003E6B78" w:rsidRPr="00AB7321" w:rsidRDefault="003E6B78" w:rsidP="00211E08">
            <w:pPr>
              <w:tabs>
                <w:tab w:val="left" w:pos="866"/>
              </w:tabs>
              <w:spacing w:line="276" w:lineRule="auto"/>
              <w:ind w:left="870" w:hanging="870"/>
              <w:rPr>
                <w:color w:val="000000"/>
              </w:rPr>
            </w:pPr>
            <w:r>
              <w:rPr>
                <w:color w:val="000000"/>
              </w:rPr>
              <w:t>Gas Electron Multiplier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HCAL</w:t>
            </w:r>
          </w:p>
        </w:tc>
        <w:tc>
          <w:tcPr>
            <w:tcW w:w="7407" w:type="dxa"/>
          </w:tcPr>
          <w:p w:rsidR="003E6B78" w:rsidRDefault="003E6B78" w:rsidP="00FE0421">
            <w:pPr>
              <w:tabs>
                <w:tab w:val="left" w:pos="866"/>
              </w:tabs>
              <w:spacing w:line="276" w:lineRule="auto"/>
              <w:ind w:left="870" w:hanging="870"/>
              <w:rPr>
                <w:color w:val="000000"/>
              </w:rPr>
            </w:pPr>
            <w:r>
              <w:rPr>
                <w:color w:val="000000"/>
              </w:rPr>
              <w:t>Hadronic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HSR</w:t>
            </w:r>
          </w:p>
        </w:tc>
        <w:tc>
          <w:tcPr>
            <w:tcW w:w="7407" w:type="dxa"/>
          </w:tcPr>
          <w:p w:rsidR="003E6B78" w:rsidRPr="00AB7321" w:rsidRDefault="003E6B78" w:rsidP="00FE0421">
            <w:pPr>
              <w:tabs>
                <w:tab w:val="left" w:pos="866"/>
              </w:tabs>
              <w:spacing w:line="276" w:lineRule="auto"/>
              <w:rPr>
                <w:color w:val="000000"/>
              </w:rPr>
            </w:pPr>
            <w:r w:rsidRPr="00AB7321">
              <w:rPr>
                <w:color w:val="000000"/>
              </w:rPr>
              <w:t>Hadron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HVAC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Heating/Ventilation/Air Conditioning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IP</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Point</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Region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MPGD</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Micro Pattern Gaseous Detectors</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NAS</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 Academy of Sciences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NEC</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 Code</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NEMA</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Electrical Manufacturers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NFPA</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National Fire Protection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NRTL</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Nationally Recognized Testing Laboratory </w:t>
            </w:r>
          </w:p>
        </w:tc>
        <w:tc>
          <w:tcPr>
            <w:tcW w:w="255" w:type="dxa"/>
          </w:tcPr>
          <w:p w:rsidR="003E6B78" w:rsidRPr="00A22225" w:rsidRDefault="003E6B78"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PID</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Particle Identification</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PRR</w:t>
            </w:r>
          </w:p>
        </w:tc>
        <w:tc>
          <w:tcPr>
            <w:tcW w:w="7407" w:type="dxa"/>
          </w:tcPr>
          <w:p w:rsidR="000533A6" w:rsidRPr="00AB7321" w:rsidRDefault="000533A6" w:rsidP="00FE0421">
            <w:pPr>
              <w:tabs>
                <w:tab w:val="left" w:pos="866"/>
              </w:tabs>
              <w:spacing w:line="276" w:lineRule="auto"/>
              <w:ind w:left="870" w:hanging="870"/>
              <w:rPr>
                <w:color w:val="000000"/>
              </w:rPr>
            </w:pPr>
            <w:r>
              <w:rPr>
                <w:color w:val="000000"/>
              </w:rPr>
              <w:t>Production Readiness Review</w:t>
            </w:r>
          </w:p>
        </w:tc>
        <w:tc>
          <w:tcPr>
            <w:tcW w:w="255" w:type="dxa"/>
          </w:tcPr>
          <w:p w:rsidR="000533A6" w:rsidRPr="00A22225" w:rsidRDefault="000533A6"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PWO</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PbWO4</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RCS</w:t>
            </w:r>
          </w:p>
        </w:tc>
        <w:tc>
          <w:tcPr>
            <w:tcW w:w="7407" w:type="dxa"/>
          </w:tcPr>
          <w:p w:rsidR="000533A6" w:rsidRDefault="000533A6" w:rsidP="000533A6">
            <w:pPr>
              <w:tabs>
                <w:tab w:val="left" w:pos="866"/>
              </w:tabs>
              <w:spacing w:line="276" w:lineRule="auto"/>
              <w:ind w:left="870" w:hanging="870"/>
              <w:rPr>
                <w:color w:val="000000"/>
              </w:rPr>
            </w:pPr>
            <w:r>
              <w:rPr>
                <w:color w:val="000000"/>
              </w:rPr>
              <w:t>Rapid Cycling Synchrotron</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t>TBD</w:t>
            </w:r>
          </w:p>
        </w:tc>
        <w:tc>
          <w:tcPr>
            <w:tcW w:w="7407" w:type="dxa"/>
          </w:tcPr>
          <w:p w:rsidR="000533A6" w:rsidRDefault="000533A6" w:rsidP="000533A6">
            <w:pPr>
              <w:tabs>
                <w:tab w:val="left" w:pos="866"/>
              </w:tabs>
              <w:spacing w:line="276" w:lineRule="auto"/>
              <w:ind w:left="870" w:hanging="870"/>
              <w:rPr>
                <w:color w:val="000000"/>
              </w:rPr>
            </w:pPr>
            <w:r>
              <w:rPr>
                <w:color w:val="000000"/>
              </w:rPr>
              <w:t>To Be Determined</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UL</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Underwriter Laboratories</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WBS</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 xml:space="preserve">Work Break Down Structure </w:t>
            </w:r>
          </w:p>
        </w:tc>
        <w:tc>
          <w:tcPr>
            <w:tcW w:w="255" w:type="dxa"/>
          </w:tcPr>
          <w:p w:rsidR="000533A6" w:rsidRPr="00A22225" w:rsidRDefault="000533A6" w:rsidP="000533A6">
            <w:pPr>
              <w:spacing w:line="276" w:lineRule="auto"/>
            </w:pPr>
          </w:p>
        </w:tc>
      </w:tr>
      <w:bookmarkEnd w:id="3"/>
    </w:tbl>
    <w:p w:rsidR="000E5ADB" w:rsidRDefault="000E5ADB">
      <w:pPr>
        <w:spacing w:line="276" w:lineRule="auto"/>
      </w:pPr>
      <w:r>
        <w:br w:type="page"/>
      </w:r>
    </w:p>
    <w:p w:rsidR="007A0EA6" w:rsidRDefault="007A0EA6" w:rsidP="007A0EA6">
      <w:pPr>
        <w:pStyle w:val="Title"/>
      </w:pPr>
      <w:r w:rsidRPr="007A0EA6">
        <w:lastRenderedPageBreak/>
        <w:t>Interface Control</w:t>
      </w:r>
      <w:r w:rsidR="00D97EF0">
        <w:t xml:space="preserve"> Document: </w:t>
      </w:r>
    </w:p>
    <w:p w:rsidR="00D63619" w:rsidRPr="007A0EA6" w:rsidRDefault="00553970" w:rsidP="007A0EA6">
      <w:pPr>
        <w:pStyle w:val="Subtitle"/>
      </w:pPr>
      <w:r>
        <w:t>Detector Infrastructure Systems (6.03.09) to BNL Portfolio FIPD</w:t>
      </w:r>
    </w:p>
    <w:p w:rsidR="007A0EA6" w:rsidRPr="007A0EA6" w:rsidRDefault="007A0EA6" w:rsidP="00245F70">
      <w:pPr>
        <w:pStyle w:val="Heading1"/>
      </w:pPr>
      <w:bookmarkStart w:id="4" w:name="_Toc137386757"/>
      <w:bookmarkStart w:id="5" w:name="_Toc137386892"/>
      <w:bookmarkStart w:id="6" w:name="_Hlk137377210"/>
      <w:bookmarkStart w:id="7" w:name="_Toc234935685"/>
      <w:r w:rsidRPr="007A0EA6">
        <w:t>Purpose and Scope</w:t>
      </w:r>
      <w:bookmarkEnd w:id="4"/>
      <w:bookmarkEnd w:id="5"/>
      <w:bookmarkEnd w:id="7"/>
    </w:p>
    <w:p w:rsidR="00D97EF0" w:rsidRDefault="00D97EF0" w:rsidP="00D97EF0">
      <w:pPr>
        <w:pStyle w:val="Body1"/>
      </w:pPr>
      <w:bookmarkStart w:id="8" w:name="_Toc137386758"/>
      <w:bookmarkStart w:id="9" w:name="_Toc137386893"/>
      <w:bookmarkEnd w:id="6"/>
      <w:r w:rsidRPr="007A0EA6">
        <w:t xml:space="preserve">This document records the agreed upon interfaces between the </w:t>
      </w:r>
      <w:r w:rsidR="00553970">
        <w:t>Detector Infrastructure Systems</w:t>
      </w:r>
      <w:r w:rsidR="003F75E7">
        <w:t xml:space="preserve"> </w:t>
      </w:r>
      <w:r w:rsidRPr="007A0EA6">
        <w:t xml:space="preserve">and </w:t>
      </w:r>
      <w:r>
        <w:t xml:space="preserve">other sub-systems within the </w:t>
      </w:r>
      <w:r w:rsidR="00553970">
        <w:t>BNL Portfolio FIPD</w:t>
      </w:r>
      <w:r>
        <w:t>.</w:t>
      </w:r>
      <w:r w:rsidR="00D51AFC">
        <w:t xml:space="preserve"> </w:t>
      </w:r>
      <w:r w:rsidRPr="007A0EA6">
        <w:t>These interfaces are based on the system requirements that are necessary to integrate these sub-systems as part of the Electron Ion Collider Project.</w:t>
      </w:r>
    </w:p>
    <w:p w:rsidR="007A0EA6" w:rsidRPr="007A0EA6" w:rsidRDefault="007A0EA6" w:rsidP="00245F70">
      <w:pPr>
        <w:pStyle w:val="Heading1"/>
      </w:pPr>
      <w:bookmarkStart w:id="10" w:name="_Toc234935686"/>
      <w:r w:rsidRPr="007A0EA6">
        <w:t>Introduction</w:t>
      </w:r>
      <w:bookmarkEnd w:id="8"/>
      <w:bookmarkEnd w:id="9"/>
      <w:bookmarkEnd w:id="10"/>
    </w:p>
    <w:p w:rsidR="001C09FE" w:rsidRDefault="001C09FE" w:rsidP="001C09FE">
      <w:pPr>
        <w:pStyle w:val="Figure"/>
      </w:pPr>
      <w:bookmarkStart w:id="11" w:name="_Toc137386894"/>
      <w:r>
        <w:drawing>
          <wp:inline distT="0" distB="0" distL="0" distR="0" wp14:anchorId="17F77556" wp14:editId="7A29F163">
            <wp:extent cx="5950590" cy="3401568"/>
            <wp:effectExtent l="76200" t="76200" r="126365" b="1422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45567" name="Picture 1"/>
                    <pic:cNvPicPr/>
                  </pic:nvPicPr>
                  <pic:blipFill rotWithShape="1">
                    <a:blip r:embed="rId11" cstate="print">
                      <a:extLst>
                        <a:ext uri="{28A0092B-C50C-407E-A947-70E740481C1C}">
                          <a14:useLocalDpi xmlns:a14="http://schemas.microsoft.com/office/drawing/2010/main" val="0"/>
                        </a:ext>
                      </a:extLst>
                    </a:blip>
                    <a:srcRect b="1895"/>
                    <a:stretch>
                      <a:fillRect/>
                    </a:stretch>
                  </pic:blipFill>
                  <pic:spPr bwMode="auto">
                    <a:xfrm>
                      <a:off x="0" y="0"/>
                      <a:ext cx="5950590" cy="34015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C09FE" w:rsidRDefault="001C09FE" w:rsidP="001C09FE">
      <w:pPr>
        <w:pStyle w:val="FigureNum"/>
        <w:framePr w:wrap="notBeside"/>
      </w:pPr>
      <w:r>
        <w:t>ePIC detector, Forward and Rear Magnets in the Experimental Hall 1006 (Metal Platforms Hidden)</w:t>
      </w:r>
    </w:p>
    <w:p w:rsidR="001C09FE" w:rsidRDefault="001C09FE" w:rsidP="001C09FE">
      <w:pPr>
        <w:pStyle w:val="Body1"/>
      </w:pPr>
      <w:r>
        <w:t xml:space="preserve">This document defines the engineering integration approach for the </w:t>
      </w:r>
      <w:r>
        <w:rPr>
          <w:rFonts w:eastAsiaTheme="majorEastAsia"/>
        </w:rPr>
        <w:t>ePIC detector</w:t>
      </w:r>
      <w:r>
        <w:t xml:space="preserve"> within </w:t>
      </w:r>
      <w:r>
        <w:rPr>
          <w:rFonts w:eastAsiaTheme="majorEastAsia"/>
        </w:rPr>
        <w:t>Building 1006</w:t>
      </w:r>
      <w:r>
        <w:t xml:space="preserve"> (Assembly Hall and Experimental Hall), the </w:t>
      </w:r>
      <w:r>
        <w:rPr>
          <w:rFonts w:eastAsiaTheme="majorEastAsia"/>
        </w:rPr>
        <w:t>Forward and Rear Magnets</w:t>
      </w:r>
      <w:r>
        <w:t xml:space="preserve">, and the </w:t>
      </w:r>
      <w:r>
        <w:rPr>
          <w:rFonts w:eastAsiaTheme="majorEastAsia"/>
        </w:rPr>
        <w:t>Vacuum Group’s beam-pipe interfaces</w:t>
      </w:r>
      <w:r>
        <w:t>. It captures system interfaces, structural and spatial requirements, motion and installation strategies, power and water services, safety/fire protection, and verification and acceptance criteria required for safe installation, commissioning, and long-term operation.</w:t>
      </w:r>
    </w:p>
    <w:p w:rsidR="001C09FE" w:rsidRDefault="001C09FE" w:rsidP="001C09FE">
      <w:pPr>
        <w:pStyle w:val="Body1"/>
      </w:pPr>
      <w:r>
        <w:rPr>
          <w:rFonts w:eastAsiaTheme="majorEastAsia"/>
        </w:rPr>
        <w:t>Scope includes:</w:t>
      </w:r>
      <w:r>
        <w:t xml:space="preserve"> Building 1006 infrastructure (structural capacity, rails, utilities, handling systems, egress); ePIC detector (barrel, endcaps, platforms, cradle and motion systems, ancillary detectors such as </w:t>
      </w:r>
      <w:r>
        <w:rPr>
          <w:rFonts w:eastAsiaTheme="majorEastAsia"/>
        </w:rPr>
        <w:t>B0 access</w:t>
      </w:r>
      <w:r>
        <w:t xml:space="preserve"> </w:t>
      </w:r>
      <w:r>
        <w:lastRenderedPageBreak/>
        <w:t xml:space="preserve">for B0 detector installation); Forward and Rear Magnets (supports on </w:t>
      </w:r>
      <w:r>
        <w:rPr>
          <w:rFonts w:eastAsiaTheme="majorEastAsia"/>
        </w:rPr>
        <w:t>solid concrete blocks</w:t>
      </w:r>
      <w:r>
        <w:t xml:space="preserve">); Vacuum Group requirements including beam-pipe interfaces; </w:t>
      </w:r>
      <w:r>
        <w:rPr>
          <w:rFonts w:eastAsiaTheme="majorEastAsia"/>
        </w:rPr>
        <w:t>Power</w:t>
      </w:r>
      <w:r>
        <w:t xml:space="preserve"> (Superconducting Magnet MARCO Power, Panel A1 distribution, grounding); </w:t>
      </w:r>
      <w:r>
        <w:rPr>
          <w:rFonts w:eastAsiaTheme="majorEastAsia"/>
        </w:rPr>
        <w:t>Water</w:t>
      </w:r>
      <w:r>
        <w:t xml:space="preserve"> (MCW/TPC reuse); </w:t>
      </w:r>
      <w:r>
        <w:rPr>
          <w:rFonts w:eastAsiaTheme="majorEastAsia"/>
        </w:rPr>
        <w:t>Safety &amp; Fire Safety</w:t>
      </w:r>
      <w:r>
        <w:t xml:space="preserve"> considerations and </w:t>
      </w:r>
      <w:r>
        <w:rPr>
          <w:rFonts w:eastAsiaTheme="majorEastAsia"/>
        </w:rPr>
        <w:t>Risks &amp; Mitigations</w:t>
      </w:r>
      <w:r>
        <w:t>.</w:t>
      </w:r>
    </w:p>
    <w:p w:rsidR="001C09FE" w:rsidRDefault="001C09FE" w:rsidP="001C09FE">
      <w:pPr>
        <w:pStyle w:val="Body1"/>
      </w:pPr>
      <w:r>
        <w:rPr>
          <w:b/>
          <w:bCs/>
        </w:rPr>
        <w:t>References:</w:t>
      </w:r>
      <w:r>
        <w:t xml:space="preserve"> Drawings, CAD models, safety standards, and prior integration notes are included in the appendices.</w:t>
      </w:r>
    </w:p>
    <w:p w:rsidR="00211E08" w:rsidRDefault="00211E08" w:rsidP="00211E08">
      <w:pPr>
        <w:pStyle w:val="Heading2"/>
      </w:pPr>
      <w:bookmarkStart w:id="12" w:name="_Toc233272926"/>
      <w:bookmarkStart w:id="13" w:name="_Toc137386759"/>
      <w:bookmarkStart w:id="14" w:name="_Toc137386900"/>
      <w:bookmarkStart w:id="15" w:name="_Toc234935687"/>
      <w:bookmarkEnd w:id="11"/>
      <w:r>
        <w:t>Participating Groups and Interface Roles</w:t>
      </w:r>
      <w:bookmarkEnd w:id="12"/>
      <w:bookmarkEnd w:id="15"/>
    </w:p>
    <w:p w:rsidR="00211E08" w:rsidRDefault="00211E08" w:rsidP="00211E08">
      <w:pPr>
        <w:pStyle w:val="Body2"/>
      </w:pPr>
      <w:r>
        <w:t>The interfaces described in this document require coordination among the ePIC Detector integration team, Magnet Group, Vacuum Group, Interaction Region Group, FIPD, and Safety/ES&amp;H. The roles summarized below identify each group’s general responsibility at the integration level. Detailed responsibilities for specific deliverables are provided in the applicable interface sections and RACI tables in this document.</w:t>
      </w:r>
    </w:p>
    <w:p w:rsidR="00211E08" w:rsidRDefault="00211E08" w:rsidP="00211E08">
      <w:pPr>
        <w:pStyle w:val="Body2Bulleted"/>
      </w:pPr>
      <w:r>
        <w:rPr>
          <w:b/>
          <w:bCs/>
        </w:rPr>
        <w:t>Detector Group:</w:t>
      </w:r>
      <w:r>
        <w:t xml:space="preserve"> Leads overall ePIC detector integration within Building 1006 and coordinates detector-side interfaces with the building, magnets, vacuum system, utilities, platforms, motion systems, safety requirements, and survey/alignment activities.</w:t>
      </w:r>
    </w:p>
    <w:p w:rsidR="00211E08" w:rsidRDefault="00211E08" w:rsidP="00211E08">
      <w:pPr>
        <w:pStyle w:val="Body2Bulleted"/>
      </w:pPr>
      <w:r>
        <w:rPr>
          <w:b/>
          <w:bCs/>
        </w:rPr>
        <w:t>Magnet Group / Magnet Division:</w:t>
      </w:r>
      <w:r>
        <w:t xml:space="preserve"> Defines and verifies forward and rear magnet interface requirements, including positioning, supports, alignment, service interfaces, magnetic-environment considerations, and operational readiness.</w:t>
      </w:r>
    </w:p>
    <w:p w:rsidR="00211E08" w:rsidRDefault="00211E08" w:rsidP="00211E08">
      <w:pPr>
        <w:pStyle w:val="Body2Bulleted"/>
      </w:pPr>
      <w:r>
        <w:rPr>
          <w:b/>
          <w:bCs/>
        </w:rPr>
        <w:t>Vacuum Group:</w:t>
      </w:r>
      <w:r>
        <w:t xml:space="preserve"> Defines and verifies beam-pipe vacuum interfaces through the forward magnet, detector, and rear magnet regions, including vacuum layout, access, pump-down, leak-checking, instrumentation, controls, interlocks, and acceptance requirements.</w:t>
      </w:r>
    </w:p>
    <w:p w:rsidR="00211E08" w:rsidRDefault="00211E08" w:rsidP="00211E08">
      <w:pPr>
        <w:pStyle w:val="Body2Bulleted"/>
      </w:pPr>
      <w:r w:rsidRPr="002C6F51">
        <w:rPr>
          <w:b/>
        </w:rPr>
        <w:t xml:space="preserve">EIC </w:t>
      </w:r>
      <w:r>
        <w:rPr>
          <w:b/>
        </w:rPr>
        <w:t>I</w:t>
      </w:r>
      <w:r w:rsidRPr="002C6F51">
        <w:rPr>
          <w:b/>
        </w:rPr>
        <w:t xml:space="preserve">nfrastructure </w:t>
      </w:r>
      <w:r>
        <w:rPr>
          <w:b/>
        </w:rPr>
        <w:t>G</w:t>
      </w:r>
      <w:r w:rsidRPr="002C6F51">
        <w:rPr>
          <w:b/>
        </w:rPr>
        <w:t>roup</w:t>
      </w:r>
      <w:r>
        <w:rPr>
          <w:b/>
        </w:rPr>
        <w:t xml:space="preserve"> (EIG)</w:t>
      </w:r>
      <w:r>
        <w:rPr>
          <w:b/>
          <w:bCs/>
        </w:rPr>
        <w:t>:</w:t>
      </w:r>
      <w:r>
        <w:t xml:space="preserve"> Coordinates integration requirements in the interaction-region areas where the beam pipe, magnets, detector components, supports, access envelopes, and service interfaces come together.</w:t>
      </w:r>
    </w:p>
    <w:p w:rsidR="00211E08" w:rsidRDefault="00211E08" w:rsidP="00211E08">
      <w:pPr>
        <w:pStyle w:val="Body2Bulleted"/>
      </w:pPr>
      <w:r w:rsidRPr="00F1511D">
        <w:rPr>
          <w:rFonts w:eastAsia="Times New Roman" w:cs="Times New Roman"/>
          <w:b/>
          <w:bCs/>
        </w:rPr>
        <w:t xml:space="preserve">Fundamental Interaction and Particle Directorate </w:t>
      </w:r>
      <w:r w:rsidRPr="00F0563E">
        <w:rPr>
          <w:rFonts w:eastAsia="Times New Roman" w:cs="Times New Roman"/>
          <w:b/>
          <w:bCs/>
        </w:rPr>
        <w:t>(</w:t>
      </w:r>
      <w:r>
        <w:rPr>
          <w:rFonts w:eastAsia="Times New Roman" w:cs="Times New Roman"/>
          <w:b/>
          <w:bCs/>
        </w:rPr>
        <w:t>FIPD</w:t>
      </w:r>
      <w:r>
        <w:rPr>
          <w:b/>
          <w:bCs/>
        </w:rPr>
        <w:t>):</w:t>
      </w:r>
      <w:r>
        <w:t xml:space="preserve"> Owns and manages Building 1006 and provides the facility infrastructure, utility interfaces, and survey/alignment support required for ePIC installation, commissioning, operation, and maintenance.</w:t>
      </w:r>
    </w:p>
    <w:p w:rsidR="00211E08" w:rsidRDefault="00211E08" w:rsidP="00211E08">
      <w:pPr>
        <w:pStyle w:val="Body2Bulleted"/>
      </w:pPr>
      <w:r>
        <w:rPr>
          <w:b/>
          <w:bCs/>
        </w:rPr>
        <w:t>Safety / ES&amp;H Group:</w:t>
      </w:r>
      <w:r>
        <w:t xml:space="preserve"> Defines and verifies safety requirements for ePIC installation, commissioning, operation, maintenance, and motion activities in Building 1006. For this document, Safety includes applicable fire-safety responsibilities and provides the required safety reviews, controls, readiness checks, and approvals.</w:t>
      </w:r>
    </w:p>
    <w:p w:rsidR="00211E08" w:rsidRDefault="00211E08" w:rsidP="00211E08">
      <w:pPr>
        <w:pStyle w:val="Heading2"/>
      </w:pPr>
      <w:bookmarkStart w:id="16" w:name="_Toc233272927"/>
      <w:bookmarkStart w:id="17" w:name="_Toc234935688"/>
      <w:r>
        <w:t>System Context</w:t>
      </w:r>
      <w:bookmarkEnd w:id="16"/>
      <w:bookmarkEnd w:id="17"/>
    </w:p>
    <w:p w:rsidR="00211E08" w:rsidRPr="001C09FE" w:rsidRDefault="00211E08" w:rsidP="00211E08">
      <w:pPr>
        <w:pStyle w:val="Heading3"/>
      </w:pPr>
      <w:r w:rsidRPr="001C09FE">
        <w:t>Purpose</w:t>
      </w:r>
    </w:p>
    <w:p w:rsidR="00211E08" w:rsidRPr="001C09FE" w:rsidRDefault="00211E08" w:rsidP="00211E08">
      <w:pPr>
        <w:pStyle w:val="Body3"/>
      </w:pPr>
      <w:r w:rsidRPr="001C09FE">
        <w:t>This section provides the overall system context for ePIC detector integration in Building 1006. Detailed interface responsibilities, controls, and acceptance criteria are provided in the applicable sections of this document.</w:t>
      </w:r>
    </w:p>
    <w:p w:rsidR="00211E08" w:rsidRPr="001C09FE" w:rsidRDefault="00211E08" w:rsidP="00211E08">
      <w:pPr>
        <w:pStyle w:val="Heading3"/>
      </w:pPr>
      <w:r w:rsidRPr="001C09FE">
        <w:lastRenderedPageBreak/>
        <w:t>Building 1006 Context</w:t>
      </w:r>
    </w:p>
    <w:p w:rsidR="00211E08" w:rsidRPr="001C09FE" w:rsidRDefault="00211E08" w:rsidP="00211E08">
      <w:pPr>
        <w:pStyle w:val="Body3"/>
      </w:pPr>
      <w:r w:rsidRPr="001C09FE">
        <w:t>Building 1006 includes the Assembly Hall, Experimental Hall, DAQ Room, Control Room, existing rail path, overhead cranes, and facility services required for ePIC installation, commissioning, operation, and maintenance.</w:t>
      </w:r>
    </w:p>
    <w:p w:rsidR="00211E08" w:rsidRPr="001C09FE" w:rsidRDefault="00211E08" w:rsidP="00211E08">
      <w:pPr>
        <w:pStyle w:val="Body3Bulleted"/>
      </w:pPr>
      <w:r w:rsidRPr="001C09FE">
        <w:rPr>
          <w:b/>
          <w:bCs/>
        </w:rPr>
        <w:t>Assembly Hall:</w:t>
      </w:r>
      <w:r w:rsidRPr="001C09FE">
        <w:t xml:space="preserve"> Primary area for detector barrel assembly; equipped with a 40-ton overhead crane.</w:t>
      </w:r>
    </w:p>
    <w:p w:rsidR="00211E08" w:rsidRPr="001C09FE" w:rsidRDefault="00211E08" w:rsidP="00211E08">
      <w:pPr>
        <w:pStyle w:val="Body3Bulleted"/>
      </w:pPr>
      <w:r w:rsidRPr="001C09FE">
        <w:rPr>
          <w:b/>
          <w:bCs/>
        </w:rPr>
        <w:t>Experimental Hall:</w:t>
      </w:r>
      <w:r w:rsidRPr="001C09FE">
        <w:t xml:space="preserve"> Primary area for endcap assembly, final detector positioning, magnet/vacuum/cryo interfaces, and detector operation; equipped with a 20-ton overhead crane.</w:t>
      </w:r>
    </w:p>
    <w:p w:rsidR="00211E08" w:rsidRPr="001C09FE" w:rsidRDefault="00211E08" w:rsidP="00211E08">
      <w:pPr>
        <w:pStyle w:val="Body3Bulleted"/>
      </w:pPr>
      <w:r w:rsidRPr="001C09FE">
        <w:rPr>
          <w:b/>
          <w:bCs/>
        </w:rPr>
        <w:t>Existing Rail Path:</w:t>
      </w:r>
      <w:r w:rsidRPr="001C09FE">
        <w:t xml:space="preserve"> Connects the 1006 parking lot, Assembly Hall, and Experimental Hall. The approved detector movement concept uses Hillman rollers on the existing rail path.</w:t>
      </w:r>
    </w:p>
    <w:p w:rsidR="00211E08" w:rsidRPr="001C09FE" w:rsidRDefault="00211E08" w:rsidP="00211E08">
      <w:pPr>
        <w:pStyle w:val="Body3Bulleted"/>
      </w:pPr>
      <w:r w:rsidRPr="001C09FE">
        <w:rPr>
          <w:b/>
          <w:bCs/>
        </w:rPr>
        <w:t>Facility Services:</w:t>
      </w:r>
      <w:r w:rsidRPr="001C09FE">
        <w:t xml:space="preserve"> Include electrical power, Modified Chilled Water, HVAC, cryogenic facility interfaces, fire protection, safety systems, survey/alignment support, and other Building 1006 infrastructure.</w:t>
      </w:r>
    </w:p>
    <w:p w:rsidR="00211E08" w:rsidRDefault="00211E08" w:rsidP="00211E08">
      <w:pPr>
        <w:pStyle w:val="Figure"/>
        <w:rPr>
          <w:bCs/>
        </w:rPr>
      </w:pPr>
      <w:r w:rsidRPr="001C09FE">
        <w:drawing>
          <wp:inline distT="0" distB="0" distL="0" distR="0" wp14:anchorId="73C93CB1" wp14:editId="0A2A48C4">
            <wp:extent cx="5943600" cy="3566160"/>
            <wp:effectExtent l="76200" t="76200" r="133350" b="129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437527" name="Picture 2"/>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11E08" w:rsidRPr="009D1F39" w:rsidRDefault="00211E08" w:rsidP="00211E08">
      <w:pPr>
        <w:pStyle w:val="FigureNum"/>
        <w:framePr w:wrap="notBeside"/>
      </w:pPr>
      <w:r w:rsidRPr="009D1F39">
        <w:t>Building 1006 Overview (Experimental and Assembly Halls, DAQ Room, Control Room, Utility Rooms)</w:t>
      </w:r>
    </w:p>
    <w:p w:rsidR="00211E08" w:rsidRPr="001C09FE" w:rsidRDefault="00211E08" w:rsidP="00211E08">
      <w:pPr>
        <w:pStyle w:val="Heading3"/>
      </w:pPr>
      <w:bookmarkStart w:id="18" w:name="_Hlk233273064"/>
      <w:r w:rsidRPr="001C09FE">
        <w:lastRenderedPageBreak/>
        <w:t>ePIC Detector Context</w:t>
      </w:r>
    </w:p>
    <w:p w:rsidR="00211E08" w:rsidRPr="001C09FE" w:rsidRDefault="00211E08" w:rsidP="00211E08">
      <w:pPr>
        <w:pStyle w:val="Body3"/>
      </w:pPr>
      <w:r w:rsidRPr="001C09FE">
        <w:t>The ePIC detector integration includes the central barrel, forward and rear endcaps, detector cradle, North and South platforms, MARCO superconducting magnet, beam-pipe vacuum system, cryogenic system, and associated services.</w:t>
      </w:r>
    </w:p>
    <w:p w:rsidR="00211E08" w:rsidRPr="001C09FE" w:rsidRDefault="00211E08" w:rsidP="00211E08">
      <w:pPr>
        <w:pStyle w:val="Body3"/>
      </w:pPr>
      <w:r w:rsidRPr="001C09FE">
        <w:t>Approximate major detector elements include:</w:t>
      </w:r>
    </w:p>
    <w:p w:rsidR="00211E08" w:rsidRPr="001C09FE" w:rsidRDefault="00211E08" w:rsidP="00211E08">
      <w:pPr>
        <w:pStyle w:val="Body3Bulleted"/>
      </w:pPr>
      <w:r w:rsidRPr="001C09FE">
        <w:rPr>
          <w:b/>
          <w:bCs/>
        </w:rPr>
        <w:t>Central Barrel:</w:t>
      </w:r>
      <w:r w:rsidRPr="001C09FE">
        <w:t xml:space="preserve"> 900 tons; assembled in the Assembly Hall and transferred to the Experimental Hall.</w:t>
      </w:r>
    </w:p>
    <w:p w:rsidR="00211E08" w:rsidRPr="001C09FE" w:rsidRDefault="00211E08" w:rsidP="00211E08">
      <w:pPr>
        <w:pStyle w:val="Body3Bulleted"/>
      </w:pPr>
      <w:r w:rsidRPr="001C09FE">
        <w:rPr>
          <w:b/>
          <w:bCs/>
        </w:rPr>
        <w:t>Forward Endcap:</w:t>
      </w:r>
      <w:r w:rsidRPr="001C09FE">
        <w:t xml:space="preserve"> 450 tons; assembled and integrated in the Experimental Hall.</w:t>
      </w:r>
    </w:p>
    <w:p w:rsidR="00211E08" w:rsidRPr="001C09FE" w:rsidRDefault="00211E08" w:rsidP="00211E08">
      <w:pPr>
        <w:pStyle w:val="Body3Bulleted"/>
      </w:pPr>
      <w:r w:rsidRPr="001C09FE">
        <w:rPr>
          <w:b/>
          <w:bCs/>
        </w:rPr>
        <w:t>Rear Endcap:</w:t>
      </w:r>
      <w:r w:rsidRPr="001C09FE">
        <w:t xml:space="preserve"> 300 tons; assembled and integrated in the Experimental Hall.</w:t>
      </w:r>
    </w:p>
    <w:p w:rsidR="00211E08" w:rsidRPr="001C09FE" w:rsidRDefault="00211E08" w:rsidP="00211E08">
      <w:pPr>
        <w:pStyle w:val="Body3Bulleted"/>
      </w:pPr>
      <w:r w:rsidRPr="001C09FE">
        <w:rPr>
          <w:b/>
          <w:bCs/>
        </w:rPr>
        <w:t>North Platform:</w:t>
      </w:r>
      <w:r w:rsidRPr="001C09FE">
        <w:t xml:space="preserve"> 80 tons; supports detector, magnet, utility, and service interfaces.</w:t>
      </w:r>
    </w:p>
    <w:p w:rsidR="00211E08" w:rsidRPr="001C09FE" w:rsidRDefault="00211E08" w:rsidP="00211E08">
      <w:pPr>
        <w:pStyle w:val="Body3Bulleted"/>
      </w:pPr>
      <w:r w:rsidRPr="001C09FE">
        <w:rPr>
          <w:b/>
          <w:bCs/>
        </w:rPr>
        <w:t>South Platform:</w:t>
      </w:r>
      <w:r w:rsidRPr="001C09FE">
        <w:t xml:space="preserve"> 120 tons; supports detector electronics, services, clean-ground interfaces, and cryogenic manifold interfaces.</w:t>
      </w:r>
    </w:p>
    <w:p w:rsidR="00211E08" w:rsidRPr="001C09FE" w:rsidRDefault="00211E08" w:rsidP="00211E08">
      <w:pPr>
        <w:pStyle w:val="Body3Bulleted"/>
      </w:pPr>
      <w:r w:rsidRPr="001C09FE">
        <w:rPr>
          <w:b/>
          <w:bCs/>
        </w:rPr>
        <w:t>MARCO Magnet:</w:t>
      </w:r>
      <w:r w:rsidRPr="001C09FE">
        <w:t xml:space="preserve"> Superconducting detector magnet requiring power, cryogenic, grounding, alignment, and safety interfaces.</w:t>
      </w:r>
    </w:p>
    <w:p w:rsidR="00211E08" w:rsidRPr="001C09FE" w:rsidRDefault="00211E08" w:rsidP="00211E08">
      <w:pPr>
        <w:pStyle w:val="Body3Bulleted"/>
      </w:pPr>
      <w:r w:rsidRPr="001C09FE">
        <w:rPr>
          <w:b/>
          <w:bCs/>
        </w:rPr>
        <w:t>Beam-Pipe Vacuum System:</w:t>
      </w:r>
      <w:r w:rsidRPr="001C09FE">
        <w:t xml:space="preserve"> Runs through the forward magnet, detector, and rear magnet regions and requires controlled envelopes, clearances, access, and verification.</w:t>
      </w:r>
    </w:p>
    <w:p w:rsidR="00211E08" w:rsidRPr="001C09FE" w:rsidRDefault="00211E08" w:rsidP="00211E08">
      <w:pPr>
        <w:pStyle w:val="Heading3"/>
      </w:pPr>
      <w:r w:rsidRPr="001C09FE">
        <w:t>Existing Infrastructure and Reuse</w:t>
      </w:r>
    </w:p>
    <w:p w:rsidR="00211E08" w:rsidRPr="001C09FE" w:rsidRDefault="00211E08" w:rsidP="00211E08">
      <w:pPr>
        <w:pStyle w:val="Body3"/>
      </w:pPr>
      <w:r w:rsidRPr="001C09FE">
        <w:t>Existing Building 1006 and legacy STAR/RHIC infrastructure may be reused for ePIC only after inspection, testing, refurbishment or upgrade where required, and formal acceptance for ePIC service.</w:t>
      </w:r>
    </w:p>
    <w:p w:rsidR="00211E08" w:rsidRPr="001C09FE" w:rsidRDefault="00211E08" w:rsidP="00211E08">
      <w:pPr>
        <w:pStyle w:val="Body3"/>
      </w:pPr>
      <w:r w:rsidRPr="001C09FE">
        <w:t>Systems requiring evaluation include rails, cranes, electrical distribution, grounding, water-cooled magnet buses, Modified Chilled Water, HSSD/smoke detection, sprinklers, alarms, HVAC, building penetrations, utility routing, survey references, platforms, anchors, trenches, and covers.</w:t>
      </w:r>
    </w:p>
    <w:p w:rsidR="00211E08" w:rsidRPr="001C09FE" w:rsidRDefault="00211E08" w:rsidP="00211E08">
      <w:pPr>
        <w:pStyle w:val="Heading3"/>
      </w:pPr>
      <w:r w:rsidRPr="001C09FE">
        <w:t>Interface Sections</w:t>
      </w:r>
    </w:p>
    <w:p w:rsidR="00211E08" w:rsidRPr="001C09FE" w:rsidRDefault="00211E08" w:rsidP="00211E08">
      <w:pPr>
        <w:pStyle w:val="Body3"/>
      </w:pPr>
      <w:r w:rsidRPr="001C09FE">
        <w:t>The following sections define the major external interfaces for ePIC detector integration:</w:t>
      </w:r>
    </w:p>
    <w:p w:rsidR="00211E08" w:rsidRPr="001C09FE" w:rsidRDefault="00211E08" w:rsidP="00211E08">
      <w:pPr>
        <w:pStyle w:val="Body3Bulleted"/>
      </w:pPr>
      <w:r w:rsidRPr="001C09FE">
        <w:t>Building 1006 detector interface.</w:t>
      </w:r>
    </w:p>
    <w:p w:rsidR="00211E08" w:rsidRPr="001C09FE" w:rsidRDefault="00211E08" w:rsidP="00211E08">
      <w:pPr>
        <w:pStyle w:val="Body3Bulleted"/>
      </w:pPr>
      <w:r w:rsidRPr="001C09FE">
        <w:t>Forward and rear magnet interfaces.</w:t>
      </w:r>
    </w:p>
    <w:p w:rsidR="00211E08" w:rsidRPr="001C09FE" w:rsidRDefault="00211E08" w:rsidP="00211E08">
      <w:pPr>
        <w:pStyle w:val="Body3Bulleted"/>
      </w:pPr>
      <w:r w:rsidRPr="001C09FE">
        <w:t>Beam-pipe vacuum interfaces.</w:t>
      </w:r>
    </w:p>
    <w:p w:rsidR="00211E08" w:rsidRPr="001C09FE" w:rsidRDefault="00211E08" w:rsidP="00211E08">
      <w:pPr>
        <w:pStyle w:val="Body3Bulleted"/>
      </w:pPr>
      <w:r w:rsidRPr="001C09FE">
        <w:t>Electrical power, grounding, and interlock interfaces.</w:t>
      </w:r>
    </w:p>
    <w:p w:rsidR="00211E08" w:rsidRPr="001C09FE" w:rsidRDefault="00211E08" w:rsidP="00211E08">
      <w:pPr>
        <w:pStyle w:val="Body3Bulleted"/>
      </w:pPr>
      <w:r w:rsidRPr="001C09FE">
        <w:t>Modified Chilled Water interface.</w:t>
      </w:r>
    </w:p>
    <w:p w:rsidR="00211E08" w:rsidRPr="001C09FE" w:rsidRDefault="00211E08" w:rsidP="00211E08">
      <w:pPr>
        <w:pStyle w:val="Body3Bulleted"/>
      </w:pPr>
      <w:r w:rsidRPr="001C09FE">
        <w:t>Cryogenic interface for the MARCO superconducting magnet.</w:t>
      </w:r>
    </w:p>
    <w:p w:rsidR="00211E08" w:rsidRPr="001C09FE" w:rsidRDefault="00211E08" w:rsidP="00211E08">
      <w:pPr>
        <w:pStyle w:val="Body3Bulleted"/>
      </w:pPr>
      <w:r w:rsidRPr="001C09FE">
        <w:t>Safety / ES&amp;H and fire-safety interfaces.</w:t>
      </w:r>
    </w:p>
    <w:p w:rsidR="00211E08" w:rsidRPr="001C09FE" w:rsidRDefault="00211E08" w:rsidP="00211E08">
      <w:pPr>
        <w:pStyle w:val="Body3Bulleted"/>
      </w:pPr>
      <w:r w:rsidRPr="001C09FE">
        <w:t>Risks, concerns, mitigations, and hold points</w:t>
      </w:r>
    </w:p>
    <w:p w:rsidR="00211E08" w:rsidRDefault="00211E08" w:rsidP="00211E08">
      <w:pPr>
        <w:pStyle w:val="Heading2"/>
      </w:pPr>
      <w:bookmarkStart w:id="19" w:name="_Toc233272928"/>
      <w:bookmarkStart w:id="20" w:name="_Toc234935689"/>
      <w:r>
        <w:t>Interface Between ePIC Detector and Building 1006</w:t>
      </w:r>
      <w:bookmarkEnd w:id="19"/>
      <w:bookmarkEnd w:id="20"/>
    </w:p>
    <w:p w:rsidR="00211E08" w:rsidRDefault="00211E08" w:rsidP="00211E08">
      <w:pPr>
        <w:pStyle w:val="Body2"/>
        <w:rPr>
          <w:kern w:val="2"/>
          <w14:ligatures w14:val="standardContextual"/>
        </w:rPr>
      </w:pPr>
      <w:r w:rsidRPr="00C307D3">
        <w:rPr>
          <w:b/>
        </w:rPr>
        <w:t>GR-3 Building 1006 Installation Readiness:</w:t>
      </w:r>
      <w:r w:rsidRPr="00C307D3">
        <w:t xml:space="preserve"> </w:t>
      </w:r>
      <w:r>
        <w:t xml:space="preserve">Building 1006 shall provide the facility conditions, access, handling interfaces, move paths, survey/alignment support, and safety controls required to support ePIC detector assembly, transfer/movement, installation, commissioning, operation, and maintenance. Facility </w:t>
      </w:r>
      <w:r>
        <w:lastRenderedPageBreak/>
        <w:t>and detector interfaces affecting major detector movement or final positioning shall be reviewed, verified, and accepted by the responsible groups before the applicable activity is performed.</w:t>
      </w:r>
    </w:p>
    <w:p w:rsidR="00211E08" w:rsidRDefault="00211E08" w:rsidP="00211E08">
      <w:pPr>
        <w:pStyle w:val="Heading3"/>
      </w:pPr>
      <w:r>
        <w:t>Purpose &amp; Scope</w:t>
      </w:r>
    </w:p>
    <w:p w:rsidR="00211E08" w:rsidRDefault="00211E08" w:rsidP="00211E08">
      <w:pPr>
        <w:pStyle w:val="Body3"/>
        <w:rPr>
          <w:sz w:val="24"/>
        </w:rPr>
      </w:pPr>
      <w:r>
        <w:t>This section describes the interfaces between the ePIC detector and Building 1006 for detector assembly, installation, rail-based movement, crane use, facility access, and survey/alignment support.</w:t>
      </w:r>
    </w:p>
    <w:p w:rsidR="00211E08" w:rsidRDefault="00211E08" w:rsidP="00211E08">
      <w:pPr>
        <w:pStyle w:val="Heading3"/>
      </w:pPr>
      <w:r>
        <w:t>Responsibilities</w:t>
      </w:r>
    </w:p>
    <w:tbl>
      <w:tblPr>
        <w:tblStyle w:val="ResponsibilityTable"/>
        <w:tblW w:w="9351" w:type="dxa"/>
        <w:tblInd w:w="265" w:type="dxa"/>
        <w:tblLook w:val="04A0" w:firstRow="1" w:lastRow="0" w:firstColumn="1" w:lastColumn="0" w:noHBand="0" w:noVBand="1"/>
      </w:tblPr>
      <w:tblGrid>
        <w:gridCol w:w="1310"/>
        <w:gridCol w:w="2984"/>
        <w:gridCol w:w="2741"/>
        <w:gridCol w:w="2316"/>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B60DEC" w:rsidRDefault="00211E08" w:rsidP="001C562C">
            <w:pPr>
              <w:pStyle w:val="TableEntry"/>
            </w:pPr>
            <w:r w:rsidRPr="00B60DEC">
              <w:t>Interface</w:t>
            </w:r>
          </w:p>
        </w:tc>
        <w:tc>
          <w:tcPr>
            <w:tcW w:w="2984"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 xml:space="preserve">Detector </w:t>
            </w:r>
            <w:r>
              <w:t xml:space="preserve">Group </w:t>
            </w:r>
            <w:r w:rsidRPr="00B60DEC">
              <w:t xml:space="preserve"> Responsibility</w:t>
            </w:r>
          </w:p>
        </w:tc>
        <w:tc>
          <w:tcPr>
            <w:tcW w:w="0" w:type="auto"/>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B60DEC">
              <w:t xml:space="preserve"> Responsibility</w:t>
            </w:r>
          </w:p>
        </w:tc>
        <w:tc>
          <w:tcPr>
            <w:tcW w:w="0" w:type="auto"/>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Assembly Hall</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the detector barrel assembly configuration, installation sequence, detector envelopes, support needs, lift points, and access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Assembly Hall facility interface, including building access, crane/facility support, utility coordination, and survey/alignment support as required.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work controls for lifts, access, egress, barricading, and work-area safety.</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Experimental Hall</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the endcap assembly configuration, detector final-position requirements, platform interfaces, access needs, and detector-side acceptance criteria.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Experimental Hall facility interface, including building access, crane/facility support, utility coordination, and survey/alignment support as required.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work controls for installation, access, egress, barricading, and work-area safety.</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Building Rails / Motion Mechanism</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detector cradle, North and South platform motion configuration, Hillman rollers, guide cams, movement procedure, loads, and detector-side acceptance criteria.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and verify the Building 1006 rail path and move-path readiness for cradle and platform movement. Provide survey/alignment support for rail readiness and final position verification.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movement controls, exclusion zones, access control, egress impacts, communication plan, and other safety controls for detector movement.</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HVAC / Environmental Conditions</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electronics, platform, DAQ/control, installation, and operating environmental requirements that must be supported by Building 1006 HVAC systems.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evaluate, maintain, and upgrade Building 1006 HVAC systems as required to support approved ePIC environmental conditions.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HVAC-related safety impacts where they affect occupancy, access etc.</w:t>
            </w:r>
          </w:p>
        </w:tc>
      </w:tr>
    </w:tbl>
    <w:p w:rsidR="00211E08" w:rsidRDefault="00211E08" w:rsidP="00211E08">
      <w:pPr>
        <w:pStyle w:val="Heading3"/>
      </w:pPr>
      <w:r>
        <w:t>Implementation Guidelines</w:t>
      </w:r>
    </w:p>
    <w:p w:rsidR="00211E08" w:rsidRDefault="00211E08" w:rsidP="00211E08">
      <w:pPr>
        <w:pStyle w:val="Body3SubHead"/>
      </w:pPr>
      <w:r>
        <w:t>Baseline Movement Concept</w:t>
      </w:r>
    </w:p>
    <w:p w:rsidR="00211E08" w:rsidRDefault="00211E08" w:rsidP="00211E08">
      <w:pPr>
        <w:pStyle w:val="Body4Bulleted"/>
        <w:rPr>
          <w:sz w:val="24"/>
        </w:rPr>
      </w:pPr>
      <w:r>
        <w:t>The detector barrel shall be transferred from the Assembly Hall to the Experimental Hall using the existing Building 1006 rail path.</w:t>
      </w:r>
    </w:p>
    <w:p w:rsidR="00211E08" w:rsidRDefault="00211E08" w:rsidP="00211E08">
      <w:pPr>
        <w:pStyle w:val="Body4Bulleted"/>
      </w:pPr>
      <w:r>
        <w:t xml:space="preserve">The barrel cradle shall use Hillman rollers as the baseline motion mechanism. The North and South platforms shall move with the cradle using Hillman rollers and guide cams. </w:t>
      </w:r>
    </w:p>
    <w:p w:rsidR="00211E08" w:rsidRDefault="00211E08" w:rsidP="00211E08">
      <w:pPr>
        <w:pStyle w:val="Body3SubHead"/>
      </w:pPr>
      <w:r>
        <w:t>HVAC Interface</w:t>
      </w:r>
    </w:p>
    <w:p w:rsidR="00211E08" w:rsidRDefault="00211E08" w:rsidP="00211E08">
      <w:pPr>
        <w:pStyle w:val="Body4Bulleted"/>
        <w:rPr>
          <w:rFonts w:eastAsia="Times New Roman" w:cs="Times New Roman"/>
          <w:sz w:val="24"/>
        </w:rPr>
      </w:pPr>
      <w:r>
        <w:t>Building 1006 HVAC systems shall support the environmental conditions required for ePIC detector installation, commissioning, operation, maintenance, and personnel access.</w:t>
      </w:r>
    </w:p>
    <w:p w:rsidR="00211E08" w:rsidRDefault="00211E08" w:rsidP="00211E08">
      <w:pPr>
        <w:pStyle w:val="Body4Bulleted"/>
      </w:pPr>
      <w:r>
        <w:t xml:space="preserve">Detector / I³ shall define the environmental requirements for detector areas, platforms, electronics, DAQ/control areas, and other detector-related work areas. FIPD shall evaluate the existing </w:t>
      </w:r>
      <w:r>
        <w:lastRenderedPageBreak/>
        <w:t>Building 1006 HVAC systems and provide required HVAC support, refurbishment, or upgrades where needed to meet the approved ePIC requirements.</w:t>
      </w:r>
    </w:p>
    <w:p w:rsidR="00211E08" w:rsidRDefault="00211E08" w:rsidP="00211E08">
      <w:pPr>
        <w:pStyle w:val="Body4Bulleted"/>
      </w:pPr>
      <w:r>
        <w:t>HVAC interfaces shall be coordinated with detector envelopes, platforms, service routing, electrical equipment, fire protection, cryogenic/ODH controls, and access requirements. Any HVAC changes that affect detector installation, operation, safety systems, or emergency response shall be reviewed by the responsible groups before implementation.</w:t>
      </w:r>
    </w:p>
    <w:p w:rsidR="00211E08" w:rsidRDefault="00211E08" w:rsidP="00211E08">
      <w:pPr>
        <w:pStyle w:val="Body4Bulleted"/>
      </w:pPr>
      <w:r>
        <w:t>HVAC readiness shall be verified before operation of detector systems or occupancy conditions that depend on controlled temperature, humidity, ventilation, or air-distribution performance.</w:t>
      </w:r>
    </w:p>
    <w:p w:rsidR="00211E08" w:rsidRDefault="00211E08" w:rsidP="00211E08">
      <w:pPr>
        <w:pStyle w:val="Heading3"/>
      </w:pPr>
      <w:r>
        <w:t xml:space="preserve">Responsible/Accountable/Consulted/Informed Matrix </w:t>
      </w:r>
    </w:p>
    <w:tbl>
      <w:tblPr>
        <w:tblStyle w:val="RACI"/>
        <w:tblW w:w="9085" w:type="dxa"/>
        <w:tblInd w:w="265" w:type="dxa"/>
        <w:tblLook w:val="04A0" w:firstRow="1" w:lastRow="0" w:firstColumn="1" w:lastColumn="0" w:noHBand="0" w:noVBand="1"/>
      </w:tblPr>
      <w:tblGrid>
        <w:gridCol w:w="2266"/>
        <w:gridCol w:w="1043"/>
        <w:gridCol w:w="895"/>
        <w:gridCol w:w="964"/>
        <w:gridCol w:w="895"/>
        <w:gridCol w:w="993"/>
        <w:gridCol w:w="1017"/>
        <w:gridCol w:w="1012"/>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rPr>
                <w:b w:val="0"/>
              </w:rPr>
            </w:pPr>
            <w:r>
              <w:t>Deliverable / Activity</w:t>
            </w:r>
          </w:p>
        </w:tc>
        <w:tc>
          <w:tcPr>
            <w:tcW w:w="104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89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w:t>
            </w:r>
          </w:p>
        </w:tc>
        <w:tc>
          <w:tcPr>
            <w:tcW w:w="964"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89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99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1017"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c>
          <w:tcPr>
            <w:tcW w:w="1012"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Barrel cradle (Structure + Moving Mechanism)</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Platform Hillman rollers &amp; guide cams</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Rail refurbishment (lip removal, gauge/level)</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Crane operations &amp; lift plans (40 t AH / 20 t EH)</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Alignment baselines &amp; acceptance survey</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HVAC Upgrade</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r>
    </w:tbl>
    <w:p w:rsidR="00211E08" w:rsidRDefault="00211E08" w:rsidP="00211E08">
      <w:pPr>
        <w:spacing w:before="100" w:beforeAutospacing="1" w:after="100" w:afterAutospacing="1"/>
        <w:contextualSpacing/>
        <w:rPr>
          <w:rFonts w:eastAsia="Times New Roman" w:cs="Times New Roman"/>
          <w:sz w:val="24"/>
          <w:szCs w:val="24"/>
        </w:rPr>
      </w:pPr>
    </w:p>
    <w:p w:rsidR="00211E08" w:rsidRDefault="00553970" w:rsidP="00211E08">
      <w:pPr>
        <w:contextualSpacing/>
        <w:jc w:val="center"/>
        <w:rPr>
          <w:rFonts w:eastAsia="Times New Roman" w:cs="Times New Roman"/>
        </w:rPr>
      </w:pPr>
      <w:r>
        <w:rPr>
          <w:rFonts w:eastAsia="Times New Roman" w:cs="Times New Roman"/>
        </w:rPr>
        <w:pict w14:anchorId="5EE2D726">
          <v:rect id="_x0000_i1025" style="width:468pt;height:1.5pt" o:hralign="center" o:hrstd="t" o:hr="t" fillcolor="#a0a0a0" stroked="f"/>
        </w:pict>
      </w:r>
    </w:p>
    <w:p w:rsidR="00211E08" w:rsidRPr="00B60DEC" w:rsidRDefault="00211E08" w:rsidP="00211E08">
      <w:pPr>
        <w:pStyle w:val="Heading2"/>
      </w:pPr>
      <w:bookmarkStart w:id="21" w:name="_Toc233272929"/>
      <w:bookmarkStart w:id="22" w:name="_Toc234935690"/>
      <w:r w:rsidRPr="00B60DEC">
        <w:t>Magnet Group Interfaces (Forward &amp; Rear Magnets)</w:t>
      </w:r>
      <w:bookmarkEnd w:id="21"/>
      <w:bookmarkEnd w:id="22"/>
    </w:p>
    <w:p w:rsidR="00211E08" w:rsidRDefault="00211E08" w:rsidP="00211E08">
      <w:pPr>
        <w:pStyle w:val="Body2"/>
        <w:rPr>
          <w:color w:val="4F81BD" w:themeColor="accent1"/>
        </w:rPr>
      </w:pPr>
      <w:r w:rsidRPr="00C307D3">
        <w:rPr>
          <w:b/>
        </w:rPr>
        <w:t>GR-4 Magnet Interface Compatibility:</w:t>
      </w:r>
      <w:r w:rsidRPr="00C307D3">
        <w:t xml:space="preserve"> </w:t>
      </w:r>
      <w:r>
        <w:t>Forward and rear magnet components, supports, platforms, services, and associated installation tooling shall remain within the detector-defined envelopes and shall maintain required clearances, alignment, access, vibration, and magnetic-environment interface constraints in the detector and interaction-region areas. Magnet installation, service routing, support configuration, material selection, and energization readiness shall be coordinated with the detector integration requirements and accepted by the responsible groups before implementation or operation.</w:t>
      </w:r>
    </w:p>
    <w:p w:rsidR="00211E08" w:rsidRDefault="00211E08" w:rsidP="00211E08">
      <w:pPr>
        <w:pStyle w:val="Heading3"/>
      </w:pPr>
      <w:r>
        <w:t>Purpose &amp; Scope</w:t>
      </w:r>
    </w:p>
    <w:p w:rsidR="00211E08" w:rsidRDefault="00211E08" w:rsidP="00211E08">
      <w:pPr>
        <w:pStyle w:val="Body3"/>
      </w:pPr>
      <w:r>
        <w:t xml:space="preserve">Define interfaces for </w:t>
      </w:r>
      <w:r>
        <w:rPr>
          <w:rFonts w:eastAsiaTheme="majorEastAsia"/>
          <w:b/>
          <w:bCs/>
          <w:color w:val="0D0D0D" w:themeColor="text1" w:themeTint="F2"/>
        </w:rPr>
        <w:t>forward and rear magnets</w:t>
      </w:r>
      <w:r>
        <w:t xml:space="preserve">, including </w:t>
      </w:r>
      <w:r>
        <w:rPr>
          <w:rFonts w:eastAsiaTheme="majorEastAsia"/>
          <w:b/>
          <w:bCs/>
          <w:color w:val="0D0D0D" w:themeColor="text1" w:themeTint="F2"/>
        </w:rPr>
        <w:t>concrete block foundations</w:t>
      </w:r>
      <w:r>
        <w:t xml:space="preserve"> for stiffness and vibration control; installation sequence; alignment; materials; and cross-system coordination.</w:t>
      </w:r>
    </w:p>
    <w:p w:rsidR="00211E08" w:rsidRPr="00854385" w:rsidRDefault="00211E08" w:rsidP="00211E08">
      <w:pPr>
        <w:pStyle w:val="Heading3"/>
      </w:pPr>
      <w:r>
        <w:t>Responsibilities</w:t>
      </w:r>
    </w:p>
    <w:tbl>
      <w:tblPr>
        <w:tblStyle w:val="ResponsibilityTable"/>
        <w:tblW w:w="9000" w:type="dxa"/>
        <w:tblInd w:w="355" w:type="dxa"/>
        <w:tblLook w:val="04A0" w:firstRow="1" w:lastRow="0" w:firstColumn="1" w:lastColumn="0" w:noHBand="0" w:noVBand="1"/>
      </w:tblPr>
      <w:tblGrid>
        <w:gridCol w:w="1018"/>
        <w:gridCol w:w="1568"/>
        <w:gridCol w:w="1494"/>
        <w:gridCol w:w="1590"/>
        <w:gridCol w:w="1530"/>
        <w:gridCol w:w="1800"/>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pPr>
            <w:r w:rsidRPr="00B60DEC">
              <w:t>Interface</w:t>
            </w:r>
          </w:p>
        </w:tc>
        <w:tc>
          <w:tcPr>
            <w:tcW w:w="1568"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 xml:space="preserve">Detector </w:t>
            </w:r>
            <w:r>
              <w:t xml:space="preserve">Group </w:t>
            </w:r>
            <w:r w:rsidRPr="00B60DEC">
              <w:t>Responsibility</w:t>
            </w:r>
          </w:p>
        </w:tc>
        <w:tc>
          <w:tcPr>
            <w:tcW w:w="1494"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Magnet Group Responsibility</w:t>
            </w:r>
          </w:p>
        </w:tc>
        <w:tc>
          <w:tcPr>
            <w:tcW w:w="1590"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B60DEC">
              <w:t xml:space="preserve"> Responsibility</w:t>
            </w:r>
          </w:p>
        </w:tc>
        <w:tc>
          <w:tcPr>
            <w:tcW w:w="1530" w:type="dxa"/>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 Responsibility</w:t>
            </w:r>
          </w:p>
        </w:tc>
        <w:tc>
          <w:tcPr>
            <w:tcW w:w="1800"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rPr>
                <w:b w:val="0"/>
              </w:rPr>
            </w:pPr>
            <w:r w:rsidRPr="00B60DEC">
              <w:rPr>
                <w:b w:val="0"/>
              </w:rPr>
              <w:t>Magnet Support / Building Interface</w:t>
            </w:r>
          </w:p>
        </w:tc>
        <w:tc>
          <w:tcPr>
            <w:tcW w:w="1568"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Provide detector envelope, access, and clearance requirements around the magnet areas.</w:t>
            </w:r>
          </w:p>
        </w:tc>
        <w:tc>
          <w:tcPr>
            <w:tcW w:w="1494"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Define magnet support, stiffness, vibration, alignment, and operational requirements.</w:t>
            </w:r>
          </w:p>
        </w:tc>
        <w:tc>
          <w:tcPr>
            <w:tcW w:w="159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Provide facility-side coordination for Building 1006 interfaces that affect magnet support and installation.</w:t>
            </w:r>
          </w:p>
        </w:tc>
        <w:tc>
          <w:tcPr>
            <w:tcW w:w="1530" w:type="dxa"/>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Design, Procure and Install the concrete blocks and related support structures for Magnet Support </w:t>
            </w:r>
          </w:p>
        </w:tc>
        <w:tc>
          <w:tcPr>
            <w:tcW w:w="180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Review applicable installation and work-area safety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rPr>
                <w:b w:val="0"/>
              </w:rPr>
            </w:pPr>
            <w:r w:rsidRPr="00B60DEC">
              <w:rPr>
                <w:b w:val="0"/>
              </w:rPr>
              <w:lastRenderedPageBreak/>
              <w:t>Magnet / Detector / Beam Pipe Interface</w:t>
            </w:r>
          </w:p>
        </w:tc>
        <w:tc>
          <w:tcPr>
            <w:tcW w:w="1568"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Define detector, platform, endcap, B0 access, and beam-pipe interface envelopes near the magnets.</w:t>
            </w:r>
          </w:p>
        </w:tc>
        <w:tc>
          <w:tcPr>
            <w:tcW w:w="1494"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Coordinate magnet position, support configuration, alignment needs, and service interfaces with detector and beam-pipe requirements.</w:t>
            </w:r>
          </w:p>
        </w:tc>
        <w:tc>
          <w:tcPr>
            <w:tcW w:w="159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Support facility-side coordination where building conditions affect the magnet-detector interface.</w:t>
            </w:r>
          </w:p>
        </w:tc>
        <w:tc>
          <w:tcPr>
            <w:tcW w:w="1530" w:type="dxa"/>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p>
        </w:tc>
        <w:tc>
          <w:tcPr>
            <w:tcW w:w="180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Review access, egress, and work-area controls where applicable.</w:t>
            </w:r>
          </w:p>
        </w:tc>
      </w:tr>
      <w:tr w:rsidR="00211E08" w:rsidTr="001C562C">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rPr>
                <w:b w:val="0"/>
              </w:rPr>
            </w:pPr>
            <w:r w:rsidRPr="00B60DEC">
              <w:rPr>
                <w:b w:val="0"/>
              </w:rPr>
              <w:t>Magnet / Platform and Equipment Interface</w:t>
            </w:r>
          </w:p>
        </w:tc>
        <w:tc>
          <w:tcPr>
            <w:tcW w:w="1568"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Identify detector access and clearance restrictions that affect platforms, services, or nearby equipment.</w:t>
            </w:r>
          </w:p>
        </w:tc>
        <w:tc>
          <w:tcPr>
            <w:tcW w:w="1494"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Define requirements for equipment placement, vibration isolation, and material compatibility near the magnet fringe field.</w:t>
            </w:r>
          </w:p>
        </w:tc>
        <w:tc>
          <w:tcPr>
            <w:tcW w:w="159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Support utility and facility coordination as applicable.</w:t>
            </w:r>
          </w:p>
        </w:tc>
        <w:tc>
          <w:tcPr>
            <w:tcW w:w="1530" w:type="dxa"/>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Design, Procure and Install the Metal Platforms and related support structures for Magnet Support</w:t>
            </w:r>
          </w:p>
        </w:tc>
        <w:tc>
          <w:tcPr>
            <w:tcW w:w="180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Review safety controls for equipment installation and operation.</w:t>
            </w:r>
          </w:p>
        </w:tc>
      </w:tr>
    </w:tbl>
    <w:p w:rsidR="00211E08" w:rsidRDefault="00211E08" w:rsidP="00211E08">
      <w:pPr>
        <w:pStyle w:val="Heading3"/>
      </w:pPr>
      <w:r>
        <w:t>Implementation Guidelines</w:t>
      </w:r>
    </w:p>
    <w:p w:rsidR="00211E08" w:rsidRPr="00394EDB" w:rsidRDefault="00211E08" w:rsidP="00211E08">
      <w:pPr>
        <w:pStyle w:val="Body3SubHead"/>
      </w:pPr>
      <w:r w:rsidRPr="00394EDB">
        <w:t>Support and Vibration Control</w:t>
      </w:r>
    </w:p>
    <w:p w:rsidR="00211E08" w:rsidRDefault="00211E08" w:rsidP="00211E08">
      <w:pPr>
        <w:pStyle w:val="Body3"/>
      </w:pPr>
      <w:r>
        <w:t xml:space="preserve">Forward and rear </w:t>
      </w:r>
      <w:r w:rsidRPr="00854385">
        <w:t>magnets</w:t>
      </w:r>
      <w:r>
        <w:t xml:space="preserve"> shall be supported on solid concrete blocks to provide the required stiffness, stability, and vibration control. Moving or vibration-producing equipment shall not be mounted on the magnet concrete blocks. Pumps, temporary equipment, and auxiliary systems shall be supported on structures independent of the magnet blocks.</w:t>
      </w:r>
    </w:p>
    <w:p w:rsidR="00211E08" w:rsidRDefault="00211E08" w:rsidP="00211E08">
      <w:pPr>
        <w:pStyle w:val="Body3"/>
      </w:pPr>
      <w:r>
        <w:t>Platforms and support structures near the magnet fringe field shall use non-magnetic materials, such as aluminum, unless otherwise reviewed and approved by the responsible magnet review authority.</w:t>
      </w:r>
    </w:p>
    <w:p w:rsidR="00211E08" w:rsidRPr="00394EDB" w:rsidRDefault="00211E08" w:rsidP="00211E08">
      <w:pPr>
        <w:pStyle w:val="Body3SubHead"/>
      </w:pPr>
      <w:r w:rsidRPr="00394EDB">
        <w:t>Clearances and Envelope Control</w:t>
      </w:r>
    </w:p>
    <w:p w:rsidR="00211E08" w:rsidRDefault="00211E08" w:rsidP="00211E08">
      <w:pPr>
        <w:pStyle w:val="Body4"/>
      </w:pPr>
      <w:r>
        <w:t xml:space="preserve">Required clearances to the </w:t>
      </w:r>
      <w:r>
        <w:rPr>
          <w:rFonts w:cs="Times New Roman"/>
          <w:b/>
          <w:bCs/>
        </w:rPr>
        <w:t>barrel, endcaps, detector platforms, beam pipe, and hall structures</w:t>
      </w:r>
      <w:r>
        <w:t xml:space="preserve"> shall be maintained at all times. Magnet locations, concrete blocks, and surrounding platforms shall be coordinated with the detector envelope model to avoid interference during installation and operation. </w:t>
      </w:r>
    </w:p>
    <w:p w:rsidR="00211E08" w:rsidRPr="00394EDB" w:rsidRDefault="00211E08" w:rsidP="00211E08">
      <w:pPr>
        <w:pStyle w:val="Body3"/>
      </w:pPr>
      <w:r w:rsidRPr="00394EDB">
        <w:t>Building and Floor Interface</w:t>
      </w:r>
    </w:p>
    <w:p w:rsidR="00211E08" w:rsidRPr="00854385" w:rsidRDefault="00211E08" w:rsidP="00211E08">
      <w:pPr>
        <w:pStyle w:val="Body4"/>
      </w:pPr>
      <w:r w:rsidRPr="00854385">
        <w:t xml:space="preserve">The concrete blocks shall transfer magnet loads safely into the Building 1006 floor. Their interface with the floor shall include proper leveling and surface preparation to ensure long-term stability. </w:t>
      </w:r>
    </w:p>
    <w:p w:rsidR="00211E08" w:rsidRPr="00394EDB" w:rsidRDefault="00211E08" w:rsidP="00211E08">
      <w:pPr>
        <w:pStyle w:val="Body3SubHead"/>
      </w:pPr>
      <w:r w:rsidRPr="00394EDB">
        <w:t>Alignment and Survey</w:t>
      </w:r>
    </w:p>
    <w:p w:rsidR="00211E08" w:rsidRPr="00854385" w:rsidRDefault="00211E08" w:rsidP="00211E08">
      <w:pPr>
        <w:pStyle w:val="Body4"/>
      </w:pPr>
      <w:r w:rsidRPr="00854385">
        <w:t xml:space="preserve">Magnet supports shall include survey fiducials and reference points so the magnets can be aligned to the hall and detector coordinate system. Final positions shall be verified by the Survey and Alignment Group after installation and service connections. </w:t>
      </w:r>
    </w:p>
    <w:p w:rsidR="00211E08" w:rsidRPr="00394EDB" w:rsidRDefault="00211E08" w:rsidP="00211E08">
      <w:pPr>
        <w:pStyle w:val="Body3SubHead"/>
      </w:pPr>
      <w:r w:rsidRPr="00394EDB">
        <w:lastRenderedPageBreak/>
        <w:t>Service Routing</w:t>
      </w:r>
    </w:p>
    <w:p w:rsidR="00211E08" w:rsidRPr="00854385" w:rsidRDefault="00211E08" w:rsidP="00211E08">
      <w:pPr>
        <w:pStyle w:val="Body4"/>
      </w:pPr>
      <w:r w:rsidRPr="00854385">
        <w:t xml:space="preserve">Space shall be reserved around the magnets for required power, cooling, controls, instrumentation, and vacuum-related services. Routing shall be coordinated to avoid blocking detector access or interfering with magnet supports. </w:t>
      </w:r>
    </w:p>
    <w:p w:rsidR="00211E08" w:rsidRPr="00394EDB" w:rsidRDefault="00211E08" w:rsidP="00211E08">
      <w:pPr>
        <w:pStyle w:val="Body3SubHead"/>
      </w:pPr>
      <w:r w:rsidRPr="00394EDB">
        <w:t>Detector Installation Access</w:t>
      </w:r>
    </w:p>
    <w:p w:rsidR="00211E08" w:rsidRPr="00854385" w:rsidRDefault="00211E08" w:rsidP="00211E08">
      <w:pPr>
        <w:pStyle w:val="Body4"/>
      </w:pPr>
      <w:r w:rsidRPr="00854385">
        <w:t xml:space="preserve">The magnet layout shall preserve access for detector installation and integration, especially near the B0 region, beam pipe, and endcap approach areas. </w:t>
      </w:r>
    </w:p>
    <w:p w:rsidR="00211E08" w:rsidRPr="00394EDB" w:rsidRDefault="00211E08" w:rsidP="00211E08">
      <w:pPr>
        <w:pStyle w:val="Body3SubHead"/>
      </w:pPr>
      <w:r w:rsidRPr="00394EDB">
        <w:t>Vibration Isolation</w:t>
      </w:r>
    </w:p>
    <w:p w:rsidR="00211E08" w:rsidRPr="00854385" w:rsidRDefault="00211E08" w:rsidP="00211E08">
      <w:pPr>
        <w:pStyle w:val="Body4"/>
      </w:pPr>
      <w:r w:rsidRPr="00854385">
        <w:t>No moving or vibration-producing equipment shall be coupled to the magnet concrete blocks. Pumps, tooling, and other auxiliary systems shall be supported on separate structures.</w:t>
      </w:r>
    </w:p>
    <w:p w:rsidR="00211E08" w:rsidRDefault="00211E08" w:rsidP="00211E08">
      <w:pPr>
        <w:pStyle w:val="Heading3"/>
        <w:rPr>
          <w:rFonts w:eastAsiaTheme="majorEastAsia"/>
          <w:bCs/>
          <w:color w:val="0D0D0D" w:themeColor="text1" w:themeTint="F2"/>
          <w:kern w:val="2"/>
          <w14:ligatures w14:val="standardContextual"/>
        </w:rPr>
      </w:pPr>
      <w:r>
        <w:t>Responsible/Accountable/Consulted/Informed Matrix</w:t>
      </w:r>
    </w:p>
    <w:tbl>
      <w:tblPr>
        <w:tblStyle w:val="RACI"/>
        <w:tblW w:w="9090" w:type="dxa"/>
        <w:tblInd w:w="265" w:type="dxa"/>
        <w:tblLook w:val="04A0" w:firstRow="1" w:lastRow="0" w:firstColumn="1" w:lastColumn="0" w:noHBand="0" w:noVBand="1"/>
      </w:tblPr>
      <w:tblGrid>
        <w:gridCol w:w="2880"/>
        <w:gridCol w:w="900"/>
        <w:gridCol w:w="898"/>
        <w:gridCol w:w="939"/>
        <w:gridCol w:w="970"/>
        <w:gridCol w:w="799"/>
        <w:gridCol w:w="881"/>
        <w:gridCol w:w="823"/>
      </w:tblGrid>
      <w:tr w:rsidR="00211E08" w:rsidRPr="00490B2D"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Deliverable / Activity</w:t>
            </w:r>
          </w:p>
        </w:tc>
        <w:tc>
          <w:tcPr>
            <w:tcW w:w="900"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Detector</w:t>
            </w:r>
          </w:p>
        </w:tc>
        <w:tc>
          <w:tcPr>
            <w:tcW w:w="898"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Magnet</w:t>
            </w:r>
          </w:p>
        </w:tc>
        <w:tc>
          <w:tcPr>
            <w:tcW w:w="939"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Vacuum</w:t>
            </w:r>
          </w:p>
        </w:tc>
        <w:tc>
          <w:tcPr>
            <w:tcW w:w="970"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w:t>
            </w:r>
          </w:p>
        </w:tc>
        <w:tc>
          <w:tcPr>
            <w:tcW w:w="799"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p>
        </w:tc>
        <w:tc>
          <w:tcPr>
            <w:tcW w:w="881"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Safety</w:t>
            </w:r>
          </w:p>
        </w:tc>
        <w:tc>
          <w:tcPr>
            <w:tcW w:w="823"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Concrete blocks (design, fab, install)</w:t>
            </w:r>
          </w:p>
        </w:tc>
        <w:tc>
          <w:tcPr>
            <w:tcW w:w="90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98"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93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97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R/A</w:t>
            </w:r>
          </w:p>
        </w:tc>
        <w:tc>
          <w:tcPr>
            <w:tcW w:w="79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81"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23"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r>
      <w:tr w:rsidR="00211E08" w:rsidTr="001C562C">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Magnet installation &amp; alignment</w:t>
            </w:r>
          </w:p>
        </w:tc>
        <w:tc>
          <w:tcPr>
            <w:tcW w:w="90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98"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R/A</w:t>
            </w:r>
          </w:p>
        </w:tc>
        <w:tc>
          <w:tcPr>
            <w:tcW w:w="93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97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79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81"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23"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r>
      <w:tr w:rsidR="00211E08" w:rsidTr="001C562C">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Metal Platforms for Access and Equipment</w:t>
            </w:r>
          </w:p>
        </w:tc>
        <w:tc>
          <w:tcPr>
            <w:tcW w:w="90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98"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93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97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R/A</w:t>
            </w:r>
          </w:p>
        </w:tc>
        <w:tc>
          <w:tcPr>
            <w:tcW w:w="79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81"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23"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r>
    </w:tbl>
    <w:p w:rsidR="00211E08" w:rsidRPr="00394EDB" w:rsidRDefault="00211E08" w:rsidP="00211E08">
      <w:pPr>
        <w:pStyle w:val="Heading2"/>
      </w:pPr>
      <w:bookmarkStart w:id="23" w:name="_Toc233272930"/>
      <w:bookmarkStart w:id="24" w:name="_Toc234935691"/>
      <w:r w:rsidRPr="00394EDB">
        <w:t>Vacuum Group Interfaces</w:t>
      </w:r>
      <w:bookmarkEnd w:id="23"/>
      <w:bookmarkEnd w:id="24"/>
    </w:p>
    <w:p w:rsidR="00211E08" w:rsidRDefault="00211E08" w:rsidP="00211E08">
      <w:pPr>
        <w:pStyle w:val="Body2"/>
      </w:pPr>
      <w:r w:rsidRPr="00C307D3">
        <w:rPr>
          <w:b/>
        </w:rPr>
        <w:t>GR-5 Beam-Pipe Vacuum Interface:</w:t>
      </w:r>
      <w:r w:rsidRPr="00C307D3">
        <w:t xml:space="preserve"> </w:t>
      </w:r>
      <w:r>
        <w:t>Beam-pipe vacuum components, equipment, supports, services, and associated installation tooling shall remain within the detector-defined envelopes and shall maintain required clearances, alignment, access, and interface constraints through the detector and interaction-region areas. Vacuum-system installation, leak checking, pump-down, instrumentation, interlocks, and final closeout shall be coordinated with the detector integration requirements and accepted by the responsible groups before implementation.</w:t>
      </w:r>
    </w:p>
    <w:p w:rsidR="00211E08" w:rsidRDefault="00211E08" w:rsidP="00211E08">
      <w:pPr>
        <w:pStyle w:val="Heading3"/>
      </w:pPr>
      <w:r>
        <w:t>Purpose &amp; Scope</w:t>
      </w:r>
    </w:p>
    <w:p w:rsidR="00211E08" w:rsidRDefault="00211E08" w:rsidP="00211E08">
      <w:pPr>
        <w:pStyle w:val="Body3"/>
        <w:rPr>
          <w:b/>
        </w:rPr>
      </w:pPr>
      <w:r>
        <w:t>This section describes the interfaces required for beam-pipe installation, vacuum equipment placement, access, leak checking, pump-down, controls, and final acceptance in the detector, magnet, and interaction-region areas.</w:t>
      </w:r>
    </w:p>
    <w:p w:rsidR="00211E08" w:rsidRPr="00394EDB" w:rsidRDefault="00211E08" w:rsidP="00211E08">
      <w:pPr>
        <w:pStyle w:val="Heading3"/>
      </w:pPr>
      <w:r w:rsidRPr="00394EDB">
        <w:t>Responsibilities</w:t>
      </w:r>
    </w:p>
    <w:tbl>
      <w:tblPr>
        <w:tblStyle w:val="ResponsibilityTable"/>
        <w:tblW w:w="0" w:type="auto"/>
        <w:tblInd w:w="265" w:type="dxa"/>
        <w:tblLook w:val="04A0" w:firstRow="1" w:lastRow="0" w:firstColumn="1" w:lastColumn="0" w:noHBand="0" w:noVBand="1"/>
      </w:tblPr>
      <w:tblGrid>
        <w:gridCol w:w="997"/>
        <w:gridCol w:w="1913"/>
        <w:gridCol w:w="1525"/>
        <w:gridCol w:w="1578"/>
        <w:gridCol w:w="1590"/>
        <w:gridCol w:w="1482"/>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t>Interface</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Vacuum Group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Detector /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w:t>
            </w:r>
            <w:r w:rsidRPr="00394EDB">
              <w:t xml:space="preserve"> Group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Magnet Group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t>Beam Pipe / Vacuum System</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Define beam-pipe vacuum interfaces, connection locations, pumps, valves, gauges, hoses, leak-check requirements, pump-down requirements, and vacuum acceptance criteria.</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Provide detector envelopes, detector-side clearances, B0 installation needs, and access constraints.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Confirm compatibility with magnet locations, supports, clearances, and transition areas.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Review applicable work controls for vacuum installation, testing, and operation.</w:t>
            </w:r>
          </w:p>
        </w:tc>
      </w:tr>
      <w:tr w:rsidR="00211E08" w:rsidTr="001C562C">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t xml:space="preserve">Shared Aluminum </w:t>
            </w:r>
            <w:r w:rsidRPr="00394EDB">
              <w:lastRenderedPageBreak/>
              <w:t>Platforms / Access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Define vacuum equipment placement </w:t>
            </w:r>
            <w:r w:rsidRPr="00394EDB">
              <w:lastRenderedPageBreak/>
              <w:t>and access needs for pumps, carts, valves, gauges, hoses, and related equipment.</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Coordinate shared platform </w:t>
            </w:r>
            <w:r w:rsidRPr="00394EDB">
              <w:lastRenderedPageBreak/>
              <w:t>use for detector needs, including B0 installation tooling and detector access.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Responsible for aluminum </w:t>
            </w:r>
            <w:r w:rsidRPr="00394EDB">
              <w:lastRenderedPageBreak/>
              <w:t>platforms used for vacuum equipment and personnel access, including shared-use coordination.</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Confirm that platforms and </w:t>
            </w:r>
            <w:r w:rsidRPr="00394EDB">
              <w:lastRenderedPageBreak/>
              <w:t>equipment do not interfere with magnet supports, magnet access, or vibration-sensitive interfaces.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Review platform access, </w:t>
            </w:r>
            <w:r w:rsidRPr="00394EDB">
              <w:lastRenderedPageBreak/>
              <w:t>personnel access, equipment placement, and work-area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lastRenderedPageBreak/>
              <w:t>Controls / Alarms / Interlocks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Define vacuum instrumentation, status signals, alarms, controls, and interlocks required for vacuum operation and monitoring.</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Coordinate required vacuum signals with detector controls or slow controls, as applicable.</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Provide magnet-interface constraints related to vacuum controls or interlocks, as applicable.</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Review safety-related alarms, interlocks, and operating controls, as applicable.</w:t>
            </w:r>
          </w:p>
        </w:tc>
      </w:tr>
    </w:tbl>
    <w:p w:rsidR="00211E08" w:rsidRDefault="00211E08" w:rsidP="00211E08">
      <w:pPr>
        <w:pStyle w:val="Heading3"/>
      </w:pPr>
      <w:r>
        <w:t>Implementation Guidelines</w:t>
      </w:r>
    </w:p>
    <w:p w:rsidR="00211E08" w:rsidRPr="00465773" w:rsidRDefault="00211E08" w:rsidP="00211E08">
      <w:pPr>
        <w:pStyle w:val="Body3SubHead"/>
      </w:pPr>
      <w:r w:rsidRPr="00465773">
        <w:t>Beam-pipe continuity</w:t>
      </w:r>
    </w:p>
    <w:p w:rsidR="00211E08" w:rsidRDefault="00211E08" w:rsidP="00211E08">
      <w:pPr>
        <w:pStyle w:val="Body3"/>
      </w:pPr>
      <w:r>
        <w:t xml:space="preserve">All components at magnet–detector transitions must fit within approved </w:t>
      </w:r>
      <w:r>
        <w:rPr>
          <w:rFonts w:eastAsiaTheme="majorEastAsia"/>
          <w:b/>
          <w:bCs/>
        </w:rPr>
        <w:t>envelope drawings provided by the Detector Group</w:t>
      </w:r>
      <w:r>
        <w:t xml:space="preserve"> and maintain required clearances.</w:t>
      </w:r>
    </w:p>
    <w:p w:rsidR="00211E08" w:rsidRPr="00C307D3" w:rsidRDefault="00211E08" w:rsidP="00211E08">
      <w:pPr>
        <w:pStyle w:val="Body4SubHead"/>
      </w:pPr>
      <w:r w:rsidRPr="00C307D3">
        <w:t>Minimum clearances to ePIC detector:</w:t>
      </w:r>
    </w:p>
    <w:p w:rsidR="00211E08" w:rsidRPr="00465773" w:rsidRDefault="00211E08" w:rsidP="00211E08">
      <w:pPr>
        <w:pStyle w:val="Body4Bulleted"/>
      </w:pPr>
      <w:r w:rsidRPr="00465773">
        <w:t>Endcaps (forward &amp; rear): 12 mm radially.</w:t>
      </w:r>
    </w:p>
    <w:p w:rsidR="00211E08" w:rsidRDefault="00211E08" w:rsidP="00211E08">
      <w:pPr>
        <w:pStyle w:val="Body4Bulleted"/>
      </w:pPr>
      <w:r w:rsidRPr="00465773">
        <w:t>Barrel detectors: ≥ 5 mm radially to Silicon, MPGDs, EEEMCAL, pfRICH, etc.</w:t>
      </w:r>
    </w:p>
    <w:p w:rsidR="00211E08" w:rsidRPr="00465773" w:rsidRDefault="00211E08" w:rsidP="00211E08">
      <w:pPr>
        <w:pStyle w:val="Body3SubHead"/>
      </w:pPr>
      <w:r w:rsidRPr="00465773">
        <w:t>Other Guidelines</w:t>
      </w:r>
    </w:p>
    <w:p w:rsidR="00211E08" w:rsidRDefault="00211E08" w:rsidP="00211E08">
      <w:pPr>
        <w:pStyle w:val="ListParagraph"/>
        <w:numPr>
          <w:ilvl w:val="0"/>
          <w:numId w:val="12"/>
        </w:numPr>
        <w:spacing w:after="160" w:line="276" w:lineRule="auto"/>
        <w:rPr>
          <w:rFonts w:cs="Times New Roman"/>
        </w:rPr>
      </w:pPr>
      <w:r>
        <w:rPr>
          <w:rFonts w:cs="Times New Roman"/>
        </w:rPr>
        <w:t>Beam-pipe vacuum interfaces shall be coordinated through the forward magnet, forward endcap, detector barrel, rear endcap, and rear magnet regions.</w:t>
      </w:r>
    </w:p>
    <w:p w:rsidR="00211E08" w:rsidRDefault="00211E08" w:rsidP="00211E08">
      <w:pPr>
        <w:pStyle w:val="ListParagraph"/>
        <w:numPr>
          <w:ilvl w:val="0"/>
          <w:numId w:val="12"/>
        </w:numPr>
        <w:spacing w:after="160" w:line="276" w:lineRule="auto"/>
        <w:rPr>
          <w:rFonts w:cs="Times New Roman"/>
        </w:rPr>
      </w:pPr>
      <w:r>
        <w:rPr>
          <w:rFonts w:cs="Times New Roman"/>
        </w:rPr>
        <w:t>Required clearances and access shall be maintained for the beam pipe, detector, endcaps, magnets, B0 installation region, vacuum equipment, and shared platforms.</w:t>
      </w:r>
    </w:p>
    <w:p w:rsidR="00211E08" w:rsidRDefault="00211E08" w:rsidP="00211E08">
      <w:pPr>
        <w:pStyle w:val="ListParagraph"/>
        <w:numPr>
          <w:ilvl w:val="0"/>
          <w:numId w:val="12"/>
        </w:numPr>
        <w:spacing w:after="160" w:line="276" w:lineRule="auto"/>
        <w:rPr>
          <w:rFonts w:cs="Times New Roman"/>
        </w:rPr>
      </w:pPr>
      <w:r>
        <w:rPr>
          <w:rFonts w:cs="Times New Roman"/>
        </w:rPr>
        <w:t>Vacuum equipment shall not be mounted on magnet concrete blocks.</w:t>
      </w:r>
    </w:p>
    <w:p w:rsidR="00211E08" w:rsidRDefault="00211E08" w:rsidP="00211E08">
      <w:pPr>
        <w:pStyle w:val="ListParagraph"/>
        <w:numPr>
          <w:ilvl w:val="0"/>
          <w:numId w:val="12"/>
        </w:numPr>
        <w:spacing w:after="160" w:line="276" w:lineRule="auto"/>
        <w:rPr>
          <w:rFonts w:cs="Times New Roman"/>
        </w:rPr>
      </w:pPr>
      <w:r>
        <w:rPr>
          <w:rFonts w:cs="Times New Roman"/>
        </w:rPr>
        <w:t>Vacuum pumps, carts, valves, gauges, hoses, and related equipment shall be located on the IR-provided aluminum platforms or other approved independent supports.</w:t>
      </w:r>
    </w:p>
    <w:p w:rsidR="00211E08" w:rsidRDefault="00211E08" w:rsidP="00211E08">
      <w:pPr>
        <w:pStyle w:val="ListParagraph"/>
        <w:numPr>
          <w:ilvl w:val="0"/>
          <w:numId w:val="12"/>
        </w:numPr>
        <w:spacing w:after="160" w:line="276" w:lineRule="auto"/>
        <w:rPr>
          <w:rFonts w:cs="Times New Roman"/>
        </w:rPr>
      </w:pPr>
      <w:r>
        <w:rPr>
          <w:rFonts w:cs="Times New Roman"/>
        </w:rPr>
        <w:t>The same platforms may be used by the Vacuum Group and Detector / I³; shared use shall be coordinated so that vacuum work, B0 detector installation tooling, and personnel access do not interfere with each other.</w:t>
      </w:r>
    </w:p>
    <w:p w:rsidR="00211E08" w:rsidRDefault="00211E08" w:rsidP="00211E08">
      <w:pPr>
        <w:pStyle w:val="ListParagraph"/>
        <w:numPr>
          <w:ilvl w:val="0"/>
          <w:numId w:val="12"/>
        </w:numPr>
        <w:spacing w:after="160" w:line="276" w:lineRule="auto"/>
        <w:rPr>
          <w:rFonts w:cs="Times New Roman"/>
        </w:rPr>
      </w:pPr>
      <w:r>
        <w:rPr>
          <w:rFonts w:cs="Times New Roman"/>
        </w:rPr>
        <w:t>Flexible connections or other isolation methods shall be used where required to limit vibration transfer to the beam pipe, detector, or magnet structures.</w:t>
      </w:r>
    </w:p>
    <w:p w:rsidR="00211E08" w:rsidRDefault="00211E08" w:rsidP="00211E08">
      <w:pPr>
        <w:pStyle w:val="Body3Bulleted"/>
      </w:pPr>
      <w:r>
        <w:t>Vacuum controls, alarms, status signals, and interlocks shall be coordinated with detector controls and safety requirements.</w:t>
      </w:r>
    </w:p>
    <w:p w:rsidR="00211E08" w:rsidRDefault="00211E08" w:rsidP="00211E08">
      <w:pPr>
        <w:pStyle w:val="Heading3"/>
        <w:rPr>
          <w:rFonts w:eastAsiaTheme="majorEastAsia"/>
          <w:color w:val="000000" w:themeColor="text1"/>
          <w:kern w:val="2"/>
          <w14:ligatures w14:val="standardContextual"/>
        </w:rPr>
      </w:pPr>
      <w:r>
        <w:t>Responsible/Accountable/Consulted/Informed Matrix</w:t>
      </w:r>
    </w:p>
    <w:tbl>
      <w:tblPr>
        <w:tblStyle w:val="RACI"/>
        <w:tblW w:w="0" w:type="auto"/>
        <w:tblInd w:w="265" w:type="dxa"/>
        <w:tblLook w:val="04A0" w:firstRow="1" w:lastRow="0" w:firstColumn="1" w:lastColumn="0" w:noHBand="0" w:noVBand="1"/>
      </w:tblPr>
      <w:tblGrid>
        <w:gridCol w:w="3548"/>
        <w:gridCol w:w="905"/>
        <w:gridCol w:w="923"/>
        <w:gridCol w:w="869"/>
        <w:gridCol w:w="740"/>
        <w:gridCol w:w="691"/>
        <w:gridCol w:w="686"/>
        <w:gridCol w:w="723"/>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rPr>
                <w:b w:val="0"/>
              </w:rPr>
            </w:pPr>
            <w:r>
              <w:t>Deliverable / Activity</w:t>
            </w:r>
          </w:p>
        </w:tc>
        <w:tc>
          <w:tcPr>
            <w:tcW w:w="90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92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w:t>
            </w:r>
          </w:p>
        </w:tc>
        <w:tc>
          <w:tcPr>
            <w:tcW w:w="869"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740"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691"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t>Beam-pipe vacuum procedures, pumps, hookups</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t>Maintain space for B0 detector installation</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lastRenderedPageBreak/>
              <w:t>Metal platforms for vacuum equipment (design/fab/install)</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t>Electrical interfaces (circuits, grounding, interlocks)</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bl>
    <w:p w:rsidR="00211E08" w:rsidRDefault="00211E08" w:rsidP="00211E08">
      <w:pPr>
        <w:pStyle w:val="Heading2"/>
      </w:pPr>
      <w:bookmarkStart w:id="25" w:name="_Toc233272931"/>
      <w:bookmarkStart w:id="26" w:name="_Toc234935692"/>
      <w:r>
        <w:t>Power Interface</w:t>
      </w:r>
      <w:bookmarkEnd w:id="25"/>
      <w:bookmarkEnd w:id="26"/>
    </w:p>
    <w:p w:rsidR="00211E08" w:rsidRDefault="00211E08" w:rsidP="00211E08">
      <w:pPr>
        <w:pStyle w:val="Body2"/>
      </w:pPr>
      <w:r w:rsidRPr="00C307D3">
        <w:rPr>
          <w:b/>
        </w:rPr>
        <w:t>GR-6 Electrical Power, Grounding, and Interlock Interface</w:t>
      </w:r>
      <w:r>
        <w:rPr>
          <w:color w:val="4F81BD" w:themeColor="accent1"/>
        </w:rPr>
        <w:t xml:space="preserve">: </w:t>
      </w:r>
      <w:r>
        <w:t>Facility electrical infrastructure shall support the ePIC detector, magnet systems, DAQ/control areas, detector platforms, vacuum equipment, and related support systems. Detector power, grounding, segregation, E-Stops, and interlock interfaces shall be reviewed and accepted by the responsible groups</w:t>
      </w:r>
    </w:p>
    <w:p w:rsidR="00211E08" w:rsidRDefault="00211E08" w:rsidP="00211E08">
      <w:pPr>
        <w:pStyle w:val="Heading3"/>
      </w:pPr>
      <w:r>
        <w:t>Purpose &amp; Scope</w:t>
      </w:r>
    </w:p>
    <w:p w:rsidR="00211E08" w:rsidRDefault="00211E08" w:rsidP="00211E08">
      <w:pPr>
        <w:pStyle w:val="Body3"/>
        <w:rPr>
          <w:sz w:val="24"/>
        </w:rPr>
      </w:pPr>
      <w:r>
        <w:t xml:space="preserve">Electrical power for the </w:t>
      </w:r>
      <w:r>
        <w:rPr>
          <w:bCs/>
        </w:rPr>
        <w:t>ePIC detector</w:t>
      </w:r>
      <w:r>
        <w:t xml:space="preserve">, </w:t>
      </w:r>
      <w:r>
        <w:rPr>
          <w:bCs/>
        </w:rPr>
        <w:t>magnet systems</w:t>
      </w:r>
      <w:r>
        <w:t xml:space="preserve">, </w:t>
      </w:r>
      <w:r>
        <w:rPr>
          <w:bCs/>
        </w:rPr>
        <w:t>vacuum equipment</w:t>
      </w:r>
      <w:r>
        <w:t xml:space="preserve">, and associated </w:t>
      </w:r>
      <w:r>
        <w:rPr>
          <w:bCs/>
        </w:rPr>
        <w:t>DAQ and control electronics</w:t>
      </w:r>
      <w:r>
        <w:t xml:space="preserve"> will be provided through existing infrastructure in </w:t>
      </w:r>
      <w:r>
        <w:rPr>
          <w:bCs/>
        </w:rPr>
        <w:t>Buildings 1006</w:t>
      </w:r>
      <w:r>
        <w:t xml:space="preserve">, supplemented by new sub-panels and feeders where required. All systems will comply with </w:t>
      </w:r>
      <w:r>
        <w:rPr>
          <w:bCs/>
        </w:rPr>
        <w:t>BNL Electrical Safety Standards</w:t>
      </w:r>
      <w:r>
        <w:t xml:space="preserve">, </w:t>
      </w:r>
      <w:r>
        <w:rPr>
          <w:bCs/>
        </w:rPr>
        <w:t>EIC electrical integration requirements</w:t>
      </w:r>
      <w:r>
        <w:t xml:space="preserve">, and the </w:t>
      </w:r>
      <w:r>
        <w:rPr>
          <w:bCs/>
        </w:rPr>
        <w:t>National Electrical Code (NEC)</w:t>
      </w:r>
      <w:r>
        <w:t>.</w:t>
      </w:r>
    </w:p>
    <w:p w:rsidR="00211E08" w:rsidRDefault="00211E08" w:rsidP="00211E08">
      <w:pPr>
        <w:pStyle w:val="Heading3"/>
      </w:pPr>
      <w:r>
        <w:t>Responsibilities</w:t>
      </w:r>
    </w:p>
    <w:tbl>
      <w:tblPr>
        <w:tblStyle w:val="ResponsibilityTable"/>
        <w:tblW w:w="0" w:type="auto"/>
        <w:tblInd w:w="265" w:type="dxa"/>
        <w:tblLook w:val="04A0" w:firstRow="1" w:lastRow="0" w:firstColumn="1" w:lastColumn="0" w:noHBand="0" w:noVBand="1"/>
      </w:tblPr>
      <w:tblGrid>
        <w:gridCol w:w="1172"/>
        <w:gridCol w:w="1661"/>
        <w:gridCol w:w="1437"/>
        <w:gridCol w:w="1717"/>
        <w:gridCol w:w="1671"/>
        <w:gridCol w:w="1427"/>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dxa"/>
            <w:hideMark/>
          </w:tcPr>
          <w:p w:rsidR="00211E08" w:rsidRPr="007533C1" w:rsidRDefault="00211E08" w:rsidP="001C562C">
            <w:pPr>
              <w:pStyle w:val="TableEntry"/>
            </w:pPr>
            <w:r w:rsidRPr="007533C1">
              <w:t>Interface</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Detector / I³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Magnet Group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Vacuum Group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7533C1">
              <w:t xml:space="preserve">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172" w:type="dxa"/>
            <w:hideMark/>
          </w:tcPr>
          <w:p w:rsidR="00211E08" w:rsidRDefault="00211E08" w:rsidP="001C562C">
            <w:pPr>
              <w:pStyle w:val="TableEntry"/>
            </w:pPr>
            <w:r>
              <w:rPr>
                <w:b w:val="0"/>
              </w:rPr>
              <w:t>Magnet Power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detector-side integration needs for the MARCO magnet, grounding, platform interfaces, and access constraints.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magnet power-supply, bus, service, and operational requirements for the MARCO magnet.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any vacuum equipment or interlocks affected by magnet power operation.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facility power interface, electrical distribution support, installation coordination, and verification for magnet power infrastructure.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electrical safety, LOTO, guarding, E-Stop, and interlock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172" w:type="dxa"/>
            <w:hideMark/>
          </w:tcPr>
          <w:p w:rsidR="00211E08" w:rsidRDefault="00211E08" w:rsidP="001C562C">
            <w:pPr>
              <w:pStyle w:val="TableEntry"/>
            </w:pPr>
            <w:r>
              <w:rPr>
                <w:b w:val="0"/>
              </w:rPr>
              <w:t>Detector / Platform / DAQ Power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platform, rack, DAQ, control, instrumentation, and clean/dirty ground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magnet-related power, grounding, or noise constraints affecting detector interfaces.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vacuum equipment power and control needs where located on or near detector/platform areas.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facility power distribution, panels, feeders, transformers, grounding support, and electrical installation coordination.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electrical safety, labeling, access, LOTO, and emergency shutdown requirements.</w:t>
            </w:r>
          </w:p>
        </w:tc>
      </w:tr>
      <w:tr w:rsidR="00211E08" w:rsidTr="001C562C">
        <w:tc>
          <w:tcPr>
            <w:cnfStyle w:val="001000000000" w:firstRow="0" w:lastRow="0" w:firstColumn="1" w:lastColumn="0" w:oddVBand="0" w:evenVBand="0" w:oddHBand="0" w:evenHBand="0" w:firstRowFirstColumn="0" w:firstRowLastColumn="0" w:lastRowFirstColumn="0" w:lastRowLastColumn="0"/>
            <w:tcW w:w="1172" w:type="dxa"/>
            <w:hideMark/>
          </w:tcPr>
          <w:p w:rsidR="00211E08" w:rsidRDefault="00211E08" w:rsidP="001C562C">
            <w:pPr>
              <w:pStyle w:val="TableEntry"/>
            </w:pPr>
            <w:r>
              <w:rPr>
                <w:b w:val="0"/>
              </w:rPr>
              <w:t>Grounding / Electrical Segregation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grounding needs, sensitive electronics requirements, and clean-ground requirements for detector electronics.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magnet grounding and high-current power interfaces with detector grounding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vacuum equipment grounding and interlock interfaces as applicable.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grounding implementation, bonding verification, and facility electrical interface coordination.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grounding, bonding, electrical isolation, and safety controls where required.</w:t>
            </w:r>
          </w:p>
        </w:tc>
      </w:tr>
    </w:tbl>
    <w:p w:rsidR="00211E08" w:rsidRDefault="00211E08" w:rsidP="00211E08">
      <w:pPr>
        <w:pStyle w:val="Heading3"/>
      </w:pPr>
      <w:r>
        <w:lastRenderedPageBreak/>
        <w:t>Implementation Guidelines</w:t>
      </w:r>
    </w:p>
    <w:p w:rsidR="00211E08" w:rsidRPr="006810D5" w:rsidRDefault="00211E08" w:rsidP="00211E08">
      <w:pPr>
        <w:pStyle w:val="Body3SubHead"/>
      </w:pPr>
      <w:r w:rsidRPr="006810D5">
        <w:t>Magnet Power System</w:t>
      </w:r>
    </w:p>
    <w:p w:rsidR="00211E08" w:rsidRPr="00C10162" w:rsidRDefault="00211E08" w:rsidP="00211E08">
      <w:pPr>
        <w:pStyle w:val="Body3Bulleted"/>
        <w:rPr>
          <w:sz w:val="24"/>
          <w:szCs w:val="24"/>
        </w:rPr>
      </w:pPr>
      <w:r>
        <w:rPr>
          <w:b/>
          <w:bCs/>
        </w:rPr>
        <w:t>Power Source:</w:t>
      </w:r>
    </w:p>
    <w:p w:rsidR="00211E08" w:rsidRDefault="00211E08" w:rsidP="00211E08">
      <w:pPr>
        <w:pStyle w:val="Body3Sub"/>
        <w:rPr>
          <w:sz w:val="24"/>
        </w:rPr>
      </w:pPr>
      <w:r>
        <w:t xml:space="preserve">Magnet power-supply room receives its </w:t>
      </w:r>
      <w:r>
        <w:rPr>
          <w:bCs/>
        </w:rPr>
        <w:t>480 V AC, 3-phase, 60 Hz</w:t>
      </w:r>
      <w:r>
        <w:t xml:space="preserve"> input directly from </w:t>
      </w:r>
      <w:r>
        <w:rPr>
          <w:bCs/>
        </w:rPr>
        <w:t>Building 1006</w:t>
      </w:r>
      <w:r>
        <w:t xml:space="preserve"> Substation 6c (minimum acceptable voltage 410 V).</w:t>
      </w:r>
    </w:p>
    <w:p w:rsidR="00211E08" w:rsidRPr="00C10162" w:rsidRDefault="00211E08" w:rsidP="00211E08">
      <w:pPr>
        <w:pStyle w:val="Body3Bulleted"/>
      </w:pPr>
      <w:r>
        <w:rPr>
          <w:b/>
          <w:bCs/>
        </w:rPr>
        <w:t>Power-Supply Output:</w:t>
      </w:r>
    </w:p>
    <w:p w:rsidR="00211E08" w:rsidRDefault="00211E08" w:rsidP="00211E08">
      <w:pPr>
        <w:pStyle w:val="Body3Sub"/>
      </w:pPr>
      <w:r>
        <w:t xml:space="preserve">ePIC magnet power supply delivers </w:t>
      </w:r>
      <w:r>
        <w:rPr>
          <w:bCs/>
        </w:rPr>
        <w:t>5 000 A DC ± 20 V</w:t>
      </w:r>
      <w:r>
        <w:t xml:space="preserve"> to the detector magnet (</w:t>
      </w:r>
      <w:r>
        <w:rPr>
          <w:bCs/>
        </w:rPr>
        <w:t>MARCO</w:t>
      </w:r>
      <w:r>
        <w:t xml:space="preserve">). The power supplies contain </w:t>
      </w:r>
      <w:r>
        <w:rPr>
          <w:bCs/>
        </w:rPr>
        <w:t>integral transformers</w:t>
      </w:r>
      <w:r>
        <w:t xml:space="preserve">, so the large external transformers located in the </w:t>
      </w:r>
      <w:r>
        <w:rPr>
          <w:bCs/>
        </w:rPr>
        <w:t>Building 1006 parking lot</w:t>
      </w:r>
      <w:r>
        <w:t xml:space="preserve"> (used for the STAR magnet) are </w:t>
      </w:r>
      <w:r>
        <w:rPr>
          <w:bCs/>
        </w:rPr>
        <w:t>not required</w:t>
      </w:r>
      <w:r>
        <w:t xml:space="preserve"> for ePIC.</w:t>
      </w:r>
    </w:p>
    <w:p w:rsidR="00211E08" w:rsidRDefault="00211E08" w:rsidP="00211E08">
      <w:pPr>
        <w:pStyle w:val="Body3Bulleted"/>
      </w:pPr>
      <w:r>
        <w:rPr>
          <w:b/>
          <w:bCs/>
        </w:rPr>
        <w:t>DC Distribution:</w:t>
      </w:r>
    </w:p>
    <w:p w:rsidR="00211E08" w:rsidRDefault="00211E08" w:rsidP="00211E08">
      <w:pPr>
        <w:pStyle w:val="Body4Bulleted"/>
      </w:pPr>
      <w:r>
        <w:t xml:space="preserve">Output from the magnet power supply is transmitted through </w:t>
      </w:r>
      <w:r>
        <w:rPr>
          <w:bCs/>
        </w:rPr>
        <w:t>water-cooled copper bus bars</w:t>
      </w:r>
      <w:r>
        <w:t xml:space="preserve"> approximately </w:t>
      </w:r>
      <w:r>
        <w:rPr>
          <w:bCs/>
        </w:rPr>
        <w:t>300 feet long</w:t>
      </w:r>
      <w:r>
        <w:t>, routed from the power-supply room, through the Assembly Hall, and into the Experimental Hall. The schedule 80 PVC pipe is roughly 30 years old and should be pressure tested and evaluated.</w:t>
      </w:r>
    </w:p>
    <w:p w:rsidR="00211E08" w:rsidRDefault="00211E08" w:rsidP="00211E08">
      <w:pPr>
        <w:pStyle w:val="Body4Bulleted"/>
      </w:pPr>
      <w:r>
        <w:t xml:space="preserve">The buses terminate at the </w:t>
      </w:r>
      <w:r>
        <w:rPr>
          <w:bCs/>
        </w:rPr>
        <w:t>north platform</w:t>
      </w:r>
      <w:r>
        <w:t>, where they connect to the MARCO magnet terminals.</w:t>
      </w:r>
    </w:p>
    <w:p w:rsidR="00211E08" w:rsidRDefault="00211E08" w:rsidP="00211E08">
      <w:pPr>
        <w:pStyle w:val="Body4Bulleted"/>
      </w:pPr>
      <w:r>
        <w:t>All bus joints and manifolds will be designed to minimize resistive losses and ensure uniform current distribution.</w:t>
      </w:r>
    </w:p>
    <w:p w:rsidR="00211E08" w:rsidRDefault="00211E08" w:rsidP="00211E08">
      <w:pPr>
        <w:pStyle w:val="Body4Bulleted"/>
      </w:pPr>
      <w:r>
        <w:t>Flow and pressure sensors for bus-cooling water will tie into facility interlocks and monitoring systems.</w:t>
      </w:r>
    </w:p>
    <w:p w:rsidR="00211E08" w:rsidRPr="00C10162" w:rsidRDefault="00211E08" w:rsidP="00211E08">
      <w:pPr>
        <w:pStyle w:val="Body3Bulleted"/>
        <w:rPr>
          <w:b/>
        </w:rPr>
      </w:pPr>
      <w:r w:rsidRPr="00C10162">
        <w:rPr>
          <w:b/>
        </w:rPr>
        <w:t>Safety &amp; Interlocks:</w:t>
      </w:r>
    </w:p>
    <w:p w:rsidR="00211E08" w:rsidRDefault="00211E08" w:rsidP="00211E08">
      <w:pPr>
        <w:pStyle w:val="Body4Bulleted"/>
      </w:pPr>
      <w:r>
        <w:t>All DC buses and joints will be guarded, grounded, and interlocked per BNL ES&amp;H requirements.</w:t>
      </w:r>
    </w:p>
    <w:p w:rsidR="00211E08" w:rsidRPr="00C10162" w:rsidRDefault="00211E08" w:rsidP="00211E08">
      <w:pPr>
        <w:pStyle w:val="Body3SubHead"/>
      </w:pPr>
      <w:r w:rsidRPr="00C10162">
        <w:t>Detector and Subsystem Power</w:t>
      </w:r>
    </w:p>
    <w:p w:rsidR="00211E08" w:rsidRPr="00C10162" w:rsidRDefault="00211E08" w:rsidP="00211E08">
      <w:pPr>
        <w:pStyle w:val="Body3Bulleted"/>
        <w:rPr>
          <w:b/>
          <w:sz w:val="24"/>
          <w:szCs w:val="24"/>
        </w:rPr>
      </w:pPr>
      <w:r w:rsidRPr="00C10162">
        <w:rPr>
          <w:b/>
        </w:rPr>
        <w:t>DAQ Room, Control Room, and Detector Platforms:</w:t>
      </w:r>
    </w:p>
    <w:p w:rsidR="00211E08" w:rsidRDefault="00211E08" w:rsidP="00211E08">
      <w:pPr>
        <w:pStyle w:val="Body3Sub"/>
        <w:rPr>
          <w:sz w:val="24"/>
        </w:rPr>
      </w:pPr>
      <w:r>
        <w:t xml:space="preserve">Power for the </w:t>
      </w:r>
      <w:r>
        <w:rPr>
          <w:bCs/>
        </w:rPr>
        <w:t>DAQ Room</w:t>
      </w:r>
      <w:r>
        <w:t xml:space="preserve">, </w:t>
      </w:r>
      <w:r>
        <w:rPr>
          <w:bCs/>
        </w:rPr>
        <w:t>Control Room</w:t>
      </w:r>
      <w:r>
        <w:t xml:space="preserve">, and both </w:t>
      </w:r>
      <w:r>
        <w:rPr>
          <w:bCs/>
        </w:rPr>
        <w:t>north and south detector platforms</w:t>
      </w:r>
      <w:r>
        <w:t xml:space="preserve"> (supporting detector electronics and utilities) is fed from </w:t>
      </w:r>
      <w:r>
        <w:rPr>
          <w:bCs/>
        </w:rPr>
        <w:t>Electrical Panel A1</w:t>
      </w:r>
      <w:r>
        <w:t xml:space="preserve"> located inside the </w:t>
      </w:r>
      <w:r>
        <w:rPr>
          <w:bCs/>
        </w:rPr>
        <w:t>DAQ Room</w:t>
      </w:r>
      <w:r>
        <w:t>.</w:t>
      </w:r>
    </w:p>
    <w:p w:rsidR="00211E08" w:rsidRDefault="00211E08" w:rsidP="00211E08">
      <w:pPr>
        <w:pStyle w:val="Body3Sub"/>
      </w:pPr>
      <w:r>
        <w:t>Panel A1 branch circuits supply power to transformers on the third level of north platform. These transformers feed the breaker panels on the north and south platforms. From there power goes to the electronic racks, instrumentation controllers, and service outlets on each platform.</w:t>
      </w:r>
    </w:p>
    <w:p w:rsidR="00211E08" w:rsidRDefault="00211E08" w:rsidP="00211E08">
      <w:pPr>
        <w:pStyle w:val="Body3SubHead"/>
      </w:pPr>
      <w:r>
        <w:t>Grounding and Electrical Segregation</w:t>
      </w:r>
    </w:p>
    <w:p w:rsidR="00211E08" w:rsidRPr="00C10162" w:rsidRDefault="00211E08" w:rsidP="00211E08">
      <w:pPr>
        <w:pStyle w:val="Body3Bulleted"/>
        <w:rPr>
          <w:b/>
          <w:sz w:val="24"/>
          <w:szCs w:val="24"/>
        </w:rPr>
      </w:pPr>
      <w:r w:rsidRPr="00C10162">
        <w:rPr>
          <w:b/>
        </w:rPr>
        <w:t>Detector and Superconducting Magnet Grounding:</w:t>
      </w:r>
    </w:p>
    <w:p w:rsidR="00211E08" w:rsidRDefault="00211E08" w:rsidP="00211E08">
      <w:pPr>
        <w:pStyle w:val="Body3Sub"/>
        <w:rPr>
          <w:sz w:val="24"/>
        </w:rPr>
      </w:pPr>
      <w:r>
        <w:t xml:space="preserve">Grounding for the ePIC detector, its superconducting magnet and South platform is achieved via </w:t>
      </w:r>
      <w:r>
        <w:rPr>
          <w:bCs/>
        </w:rPr>
        <w:t>dedicated grounding cables</w:t>
      </w:r>
      <w:r>
        <w:t xml:space="preserve"> that connect to the cradle and terminate at the </w:t>
      </w:r>
      <w:r>
        <w:rPr>
          <w:bCs/>
        </w:rPr>
        <w:t>grounding column in the Assembly Hall</w:t>
      </w:r>
      <w:r>
        <w:t>. This establishes a single, robust connection to the facility reference ground.</w:t>
      </w:r>
    </w:p>
    <w:p w:rsidR="00211E08" w:rsidRPr="00C10162" w:rsidRDefault="00211E08" w:rsidP="00211E08">
      <w:pPr>
        <w:pStyle w:val="Body3Bulleted"/>
        <w:rPr>
          <w:b/>
        </w:rPr>
      </w:pPr>
      <w:r w:rsidRPr="00C10162">
        <w:rPr>
          <w:b/>
        </w:rPr>
        <w:t xml:space="preserve">Platform Ground Classification: </w:t>
      </w:r>
    </w:p>
    <w:p w:rsidR="00211E08" w:rsidRDefault="00211E08" w:rsidP="00211E08">
      <w:pPr>
        <w:pStyle w:val="Body4Bulleted"/>
      </w:pPr>
      <w:r>
        <w:rPr>
          <w:b/>
          <w:bCs/>
        </w:rPr>
        <w:lastRenderedPageBreak/>
        <w:t>North Platform (“Dirty Ground”):</w:t>
      </w:r>
      <w:r>
        <w:t xml:space="preserve"> Considered mechanically and electrically tied to facility structure; isolation is </w:t>
      </w:r>
      <w:r>
        <w:rPr>
          <w:bCs/>
        </w:rPr>
        <w:t>not critical</w:t>
      </w:r>
      <w:r>
        <w:t>. This platform supports magnet connections, high-current buses, gas panels, cooling systems and safety systems etc.</w:t>
      </w:r>
    </w:p>
    <w:p w:rsidR="00211E08" w:rsidRDefault="00211E08" w:rsidP="00211E08">
      <w:pPr>
        <w:pStyle w:val="Body4Bulleted"/>
      </w:pPr>
      <w:r>
        <w:rPr>
          <w:b/>
          <w:bCs/>
        </w:rPr>
        <w:t>South Platform (“Clean Ground”):</w:t>
      </w:r>
      <w:r>
        <w:t xml:space="preserve"> Designated for sensitive detector electronics and DAQ equipment; </w:t>
      </w:r>
      <w:r>
        <w:rPr>
          <w:bCs/>
        </w:rPr>
        <w:t>electrical isolation</w:t>
      </w:r>
      <w:r>
        <w:t xml:space="preserve"> from the building structure and north platform is required. All racks and electronics mounted here must maintain clean-ground isolation.</w:t>
      </w:r>
    </w:p>
    <w:p w:rsidR="00211E08" w:rsidRPr="00C10162" w:rsidRDefault="00211E08" w:rsidP="00211E08">
      <w:pPr>
        <w:pStyle w:val="Body3Bulleted"/>
        <w:rPr>
          <w:b/>
        </w:rPr>
      </w:pPr>
      <w:r w:rsidRPr="00C10162">
        <w:rPr>
          <w:b/>
        </w:rPr>
        <w:t>Load Segregation:</w:t>
      </w:r>
    </w:p>
    <w:p w:rsidR="00211E08" w:rsidRDefault="00211E08" w:rsidP="00211E08">
      <w:pPr>
        <w:pStyle w:val="Body3Sub"/>
      </w:pPr>
      <w:r>
        <w:t>Magnet power circuits remain isolated from detector electronics to reduce noise coupling and ground loops.</w:t>
      </w:r>
      <w:r>
        <w:br/>
        <w:t xml:space="preserve">Each subsystem adheres to the facility </w:t>
      </w:r>
      <w:r>
        <w:rPr>
          <w:bCs/>
        </w:rPr>
        <w:t>single-point ground</w:t>
      </w:r>
      <w:r>
        <w:t xml:space="preserve"> philosophy.</w:t>
      </w:r>
    </w:p>
    <w:p w:rsidR="00211E08" w:rsidRDefault="00211E08" w:rsidP="00211E08">
      <w:pPr>
        <w:pStyle w:val="Body3SubHead"/>
      </w:pPr>
      <w:r>
        <w:t>Load Estimates and Safety</w:t>
      </w:r>
    </w:p>
    <w:p w:rsidR="00211E08" w:rsidRPr="00C10162" w:rsidRDefault="00211E08" w:rsidP="00211E08">
      <w:pPr>
        <w:pStyle w:val="Body3Bulleted"/>
        <w:rPr>
          <w:b/>
          <w:sz w:val="24"/>
          <w:szCs w:val="24"/>
        </w:rPr>
      </w:pPr>
      <w:r w:rsidRPr="00C10162">
        <w:rPr>
          <w:b/>
        </w:rPr>
        <w:t>Estimated Connected Loads:</w:t>
      </w:r>
    </w:p>
    <w:p w:rsidR="00211E08" w:rsidRDefault="00211E08" w:rsidP="00211E08">
      <w:pPr>
        <w:pStyle w:val="Body4Bulleted"/>
      </w:pPr>
      <w:r>
        <w:t>Detector Systems ≈ xxx kW</w:t>
      </w:r>
    </w:p>
    <w:p w:rsidR="00211E08" w:rsidRDefault="00211E08" w:rsidP="00211E08">
      <w:pPr>
        <w:pStyle w:val="Body4Bulleted"/>
      </w:pPr>
      <w:r>
        <w:t>Magnet Systems ≈ xxx kW</w:t>
      </w:r>
    </w:p>
    <w:p w:rsidR="00211E08" w:rsidRDefault="00211E08" w:rsidP="00211E08">
      <w:pPr>
        <w:pStyle w:val="Body4Bulleted"/>
      </w:pPr>
      <w:r>
        <w:t>Vacuum Systems ≈ xx kW</w:t>
      </w:r>
    </w:p>
    <w:p w:rsidR="00211E08" w:rsidRDefault="00211E08" w:rsidP="00211E08">
      <w:pPr>
        <w:pStyle w:val="Body4Bulleted"/>
      </w:pPr>
      <w:r>
        <w:t>Ancillary Utilities ≈ xx kW</w:t>
      </w:r>
    </w:p>
    <w:p w:rsidR="00211E08" w:rsidRDefault="00211E08" w:rsidP="00211E08">
      <w:pPr>
        <w:pStyle w:val="Body3Bulleted"/>
      </w:pPr>
      <w:r>
        <w:rPr>
          <w:b/>
          <w:bCs/>
        </w:rPr>
        <w:t>Feeder and Breaker Sizing:</w:t>
      </w:r>
      <w:r>
        <w:t xml:space="preserve"> </w:t>
      </w:r>
    </w:p>
    <w:p w:rsidR="00211E08" w:rsidRDefault="00211E08" w:rsidP="00211E08">
      <w:pPr>
        <w:pStyle w:val="Body3Sub"/>
      </w:pPr>
      <w:r>
        <w:t>Final conductor and breaker ratings verified by Electrical Engineering.</w:t>
      </w:r>
    </w:p>
    <w:p w:rsidR="00211E08" w:rsidRPr="00C10162" w:rsidRDefault="00211E08" w:rsidP="00211E08">
      <w:pPr>
        <w:pStyle w:val="Body3Bulleted"/>
        <w:rPr>
          <w:b/>
        </w:rPr>
      </w:pPr>
      <w:r w:rsidRPr="00C10162">
        <w:rPr>
          <w:b/>
        </w:rPr>
        <w:t>Safety Provisions:</w:t>
      </w:r>
    </w:p>
    <w:p w:rsidR="00211E08" w:rsidRDefault="00211E08" w:rsidP="00211E08">
      <w:pPr>
        <w:pStyle w:val="Body4Bulleted"/>
      </w:pPr>
      <w:r>
        <w:t>All installations require proper labeling, LOTO points, and E-Stop integration.</w:t>
      </w:r>
    </w:p>
    <w:p w:rsidR="00211E08" w:rsidRDefault="00211E08" w:rsidP="00211E08">
      <w:pPr>
        <w:pStyle w:val="Body4Bulleted"/>
      </w:pPr>
      <w:r>
        <w:t>Continuous monitoring of bus-water flow, temperature, and DC voltage during operation.</w:t>
      </w:r>
    </w:p>
    <w:p w:rsidR="00211E08" w:rsidRDefault="00211E08" w:rsidP="00211E08">
      <w:pPr>
        <w:pStyle w:val="Body4Bulleted"/>
      </w:pPr>
      <w:r>
        <w:t xml:space="preserve">Local and remote </w:t>
      </w:r>
      <w:r>
        <w:rPr>
          <w:b/>
          <w:bCs/>
        </w:rPr>
        <w:t>E-Stop</w:t>
      </w:r>
      <w:r>
        <w:t xml:space="preserve"> interfaces provided at the north and south platforms and in the power-supply room.</w:t>
      </w:r>
    </w:p>
    <w:p w:rsidR="00211E08" w:rsidRDefault="00211E08" w:rsidP="00211E08">
      <w:pPr>
        <w:pStyle w:val="Heading3"/>
        <w:rPr>
          <w:rFonts w:eastAsia="Times New Roman"/>
          <w:bCs/>
          <w:sz w:val="27"/>
          <w:szCs w:val="27"/>
        </w:rPr>
      </w:pPr>
      <w:r>
        <w:t>Responsible/Accountable/Consulted/Informed Matrix</w:t>
      </w:r>
    </w:p>
    <w:tbl>
      <w:tblPr>
        <w:tblStyle w:val="RACI"/>
        <w:tblW w:w="0" w:type="auto"/>
        <w:tblInd w:w="265" w:type="dxa"/>
        <w:tblLook w:val="04A0" w:firstRow="1" w:lastRow="0" w:firstColumn="1" w:lastColumn="0" w:noHBand="0" w:noVBand="1"/>
      </w:tblPr>
      <w:tblGrid>
        <w:gridCol w:w="2948"/>
        <w:gridCol w:w="1032"/>
        <w:gridCol w:w="1018"/>
        <w:gridCol w:w="956"/>
        <w:gridCol w:w="719"/>
        <w:gridCol w:w="846"/>
        <w:gridCol w:w="686"/>
        <w:gridCol w:w="723"/>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8" w:type="dxa"/>
            <w:hideMark/>
          </w:tcPr>
          <w:p w:rsidR="00211E08" w:rsidRPr="00BA4497" w:rsidRDefault="00211E08" w:rsidP="001C562C">
            <w:pPr>
              <w:pStyle w:val="TableEntry"/>
              <w:rPr>
                <w:kern w:val="2"/>
                <w14:ligatures w14:val="standardContextual"/>
              </w:rPr>
            </w:pPr>
            <w:r w:rsidRPr="00BA4497">
              <w:t>Deliverable / Activity</w:t>
            </w:r>
          </w:p>
        </w:tc>
        <w:tc>
          <w:tcPr>
            <w:tcW w:w="1032"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Detector</w:t>
            </w:r>
          </w:p>
        </w:tc>
        <w:tc>
          <w:tcPr>
            <w:tcW w:w="1018"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Magnet</w:t>
            </w:r>
          </w:p>
        </w:tc>
        <w:tc>
          <w:tcPr>
            <w:tcW w:w="956"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Vacuum</w:t>
            </w:r>
          </w:p>
        </w:tc>
        <w:tc>
          <w:tcPr>
            <w:tcW w:w="719"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w:t>
            </w:r>
          </w:p>
        </w:tc>
        <w:tc>
          <w:tcPr>
            <w:tcW w:w="846"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Safety</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Magnet PS room feed from Bldg 1004 (480 V 3φ 60 Hz; min 410 V)</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Magnet PS and Transformer</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Magnet PS and Transformer Installation</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DC buses to MARCO (~300 ft, 5 kA ±20 V, water-cooled)</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Panel A1 distribution (DAQ, Control, N/S platforms)</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Grounding (single-point; dirty North / clean South)</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E-Stops &amp; electrical interlocks (magnet, buses, pumps)</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bl>
    <w:p w:rsidR="00211E08" w:rsidRDefault="00211E08" w:rsidP="00211E08">
      <w:pPr>
        <w:rPr>
          <w:rFonts w:eastAsia="Times New Roman" w:cs="Times New Roman"/>
        </w:rPr>
      </w:pPr>
    </w:p>
    <w:p w:rsidR="00211E08" w:rsidRDefault="00211E08" w:rsidP="00211E08">
      <w:pPr>
        <w:pStyle w:val="Heading2"/>
      </w:pPr>
      <w:bookmarkStart w:id="27" w:name="_Toc233272932"/>
      <w:bookmarkStart w:id="28" w:name="_Toc234935693"/>
      <w:r>
        <w:lastRenderedPageBreak/>
        <w:t>Water Interface</w:t>
      </w:r>
      <w:bookmarkEnd w:id="27"/>
      <w:bookmarkEnd w:id="28"/>
    </w:p>
    <w:p w:rsidR="00211E08" w:rsidRDefault="00211E08" w:rsidP="00211E08">
      <w:pPr>
        <w:pStyle w:val="Body2"/>
      </w:pPr>
      <w:r>
        <w:t>GR-7 Modified Chilled Water Interface: Facility modified chilled water infrastructure shall support the ePIC detector cooling requirements, including required capacity, flow, temperature, water quality, monitoring, leak testing, and interlock interfaces. Existing MCW infrastructure and chiller capacity shall be evaluated and upgraded or replaced as required before operation of affected detector systems.</w:t>
      </w:r>
    </w:p>
    <w:p w:rsidR="00211E08" w:rsidRDefault="00211E08" w:rsidP="00211E08">
      <w:pPr>
        <w:pStyle w:val="Heading3"/>
      </w:pPr>
      <w:r>
        <w:t>Purpose</w:t>
      </w:r>
    </w:p>
    <w:p w:rsidR="00211E08" w:rsidRDefault="00211E08" w:rsidP="00211E08">
      <w:pPr>
        <w:pStyle w:val="Body3"/>
        <w:rPr>
          <w:sz w:val="24"/>
        </w:rPr>
      </w:pPr>
      <w:r>
        <w:t>This section describes the Modified Chilled Water (MCW) interface required for ePIC detector cooling, including facility supply capacity, detector-side cooling requirements, service connections, monitoring, leak testing, and acceptance.</w:t>
      </w:r>
    </w:p>
    <w:p w:rsidR="00211E08" w:rsidRDefault="00211E08" w:rsidP="00211E08">
      <w:pPr>
        <w:pStyle w:val="Heading3"/>
      </w:pPr>
      <w:r>
        <w:t>Responsibilities</w:t>
      </w:r>
    </w:p>
    <w:tbl>
      <w:tblPr>
        <w:tblStyle w:val="RACI"/>
        <w:tblW w:w="0" w:type="auto"/>
        <w:tblLook w:val="04A0" w:firstRow="1" w:lastRow="0" w:firstColumn="1" w:lastColumn="0" w:noHBand="0" w:noVBand="1"/>
      </w:tblPr>
      <w:tblGrid>
        <w:gridCol w:w="1297"/>
        <w:gridCol w:w="3017"/>
        <w:gridCol w:w="2856"/>
        <w:gridCol w:w="2180"/>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Interface</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Detector / I³ Responsibility</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BA4497">
              <w:t xml:space="preserve"> Responsibility</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Modified Chilled Water (MCW)</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detector-side cooling loads, flow requirements, temperature requirements, connection points, material compatibility, access needs, and monitoring/interlock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evaluate, refurbish, qualify, and maintain the MCW facility interface required to support ePIC detector operation.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safety controls for water connections, leak response, work planning, and operation near electrical equipment.</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MCW Capacity / Chiller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detector cooling-load requirements needed to evaluate MCW capacity.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Verify that the existing MCW system and chiller capacity are sufficient for ePIC. If capacity is not sufficient, provide the required system upgrades, including replacement or upsizing of the existing chiller as needed.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safety and operational impacts of MCW system upgrades.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Monitoring / Leak-Test / Interlock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detector-side leak-test needs, sensor locations, slow-controls signals, and interlock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facility-side support for flow, pressure, temperature, leak detection, and water-system status monitoring as required.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safety-related alarms, interlocks, leak-response controls, and operating readiness as applicable.</w:t>
            </w:r>
          </w:p>
        </w:tc>
      </w:tr>
    </w:tbl>
    <w:p w:rsidR="00211E08" w:rsidRDefault="00211E08" w:rsidP="00211E08">
      <w:pPr>
        <w:pStyle w:val="Heading3"/>
        <w:rPr>
          <w:rFonts w:eastAsia="Times New Roman"/>
          <w:sz w:val="28"/>
          <w:szCs w:val="28"/>
        </w:rPr>
      </w:pPr>
      <w:r>
        <w:t>Implementation Guidelines</w:t>
      </w:r>
    </w:p>
    <w:p w:rsidR="00211E08" w:rsidRDefault="00211E08" w:rsidP="00211E08">
      <w:pPr>
        <w:pStyle w:val="Body3Bulleted"/>
        <w:rPr>
          <w:sz w:val="24"/>
          <w:szCs w:val="24"/>
        </w:rPr>
      </w:pPr>
      <w:r>
        <w:t>MCW shall be the baseline cooling-water interface for ePIC detector systems.</w:t>
      </w:r>
    </w:p>
    <w:p w:rsidR="00211E08" w:rsidRDefault="00211E08" w:rsidP="00211E08">
      <w:pPr>
        <w:pStyle w:val="Body3Bulleted"/>
      </w:pPr>
      <w:r>
        <w:t>Existing MCW infrastructure shall be inspected, refurbished, pressure-tested, chemically qualified, and accepted before use for ePIC.</w:t>
      </w:r>
    </w:p>
    <w:p w:rsidR="00211E08" w:rsidRDefault="00211E08" w:rsidP="00211E08">
      <w:pPr>
        <w:pStyle w:val="Body3Bulleted"/>
      </w:pPr>
      <w:r>
        <w:t>The available MCW cooling capacity shall be evaluated against the final ePIC detector cooling-load requirements.</w:t>
      </w:r>
    </w:p>
    <w:p w:rsidR="00211E08" w:rsidRDefault="00211E08" w:rsidP="00211E08">
      <w:pPr>
        <w:pStyle w:val="Body3Bulleted"/>
      </w:pPr>
      <w:r>
        <w:t>The existing 80-ton MCW chiller shall be evaluated for condition and capacity. Replacement and/or installation of a larger chiller shall be implemented if required by the ePIC cooling-load assessment.</w:t>
      </w:r>
    </w:p>
    <w:p w:rsidR="00211E08" w:rsidRDefault="00211E08" w:rsidP="00211E08">
      <w:pPr>
        <w:pStyle w:val="Body3Bulleted"/>
      </w:pPr>
      <w:r>
        <w:t>Detector cooling connections shall be coordinated with detector envelopes, platform layouts, access requirements, electrical equipment, and service routing.</w:t>
      </w:r>
    </w:p>
    <w:p w:rsidR="00211E08" w:rsidRDefault="00211E08" w:rsidP="00211E08">
      <w:pPr>
        <w:pStyle w:val="Body3Bulleted"/>
      </w:pPr>
      <w:r>
        <w:t>Flow, pressure, temperature, leak detection, alarm, and interlock signals shall be coordinated with detector controls and safety requirements where applicable.</w:t>
      </w:r>
    </w:p>
    <w:p w:rsidR="00211E08" w:rsidRDefault="00211E08" w:rsidP="00211E08">
      <w:pPr>
        <w:pStyle w:val="Heading3"/>
        <w:rPr>
          <w:rFonts w:eastAsia="Times New Roman"/>
          <w:sz w:val="28"/>
          <w:szCs w:val="28"/>
        </w:rPr>
      </w:pPr>
      <w:r>
        <w:lastRenderedPageBreak/>
        <w:t>Responsible/Accountable/Consulted/Informed Matrix</w:t>
      </w:r>
    </w:p>
    <w:tbl>
      <w:tblPr>
        <w:tblStyle w:val="RACI"/>
        <w:tblW w:w="9090" w:type="dxa"/>
        <w:tblInd w:w="265" w:type="dxa"/>
        <w:tblLayout w:type="fixed"/>
        <w:tblLook w:val="04A0" w:firstRow="1" w:lastRow="0" w:firstColumn="1" w:lastColumn="0" w:noHBand="0" w:noVBand="1"/>
      </w:tblPr>
      <w:tblGrid>
        <w:gridCol w:w="3370"/>
        <w:gridCol w:w="950"/>
        <w:gridCol w:w="900"/>
        <w:gridCol w:w="990"/>
        <w:gridCol w:w="630"/>
        <w:gridCol w:w="630"/>
        <w:gridCol w:w="804"/>
        <w:gridCol w:w="816"/>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b w:val="0"/>
                <w:bCs/>
                <w:sz w:val="20"/>
                <w:szCs w:val="20"/>
              </w:rPr>
            </w:pPr>
            <w:r>
              <w:rPr>
                <w:rFonts w:eastAsia="Times New Roman" w:cs="Times New Roman"/>
                <w:bCs/>
                <w:sz w:val="20"/>
                <w:szCs w:val="20"/>
              </w:rPr>
              <w:t>Deliverable / Activity</w:t>
            </w:r>
          </w:p>
        </w:tc>
        <w:tc>
          <w:tcPr>
            <w:tcW w:w="95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Detector</w:t>
            </w:r>
          </w:p>
        </w:tc>
        <w:tc>
          <w:tcPr>
            <w:tcW w:w="90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Magnet</w:t>
            </w:r>
          </w:p>
        </w:tc>
        <w:tc>
          <w:tcPr>
            <w:tcW w:w="99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Vacuum</w:t>
            </w:r>
          </w:p>
        </w:tc>
        <w:tc>
          <w:tcPr>
            <w:tcW w:w="63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EIG</w:t>
            </w:r>
          </w:p>
        </w:tc>
        <w:tc>
          <w:tcPr>
            <w:tcW w:w="63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FIPD</w:t>
            </w:r>
          </w:p>
        </w:tc>
        <w:tc>
          <w:tcPr>
            <w:tcW w:w="804"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Safety</w:t>
            </w:r>
          </w:p>
        </w:tc>
        <w:tc>
          <w:tcPr>
            <w:tcW w:w="816"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Detector cooling requirements and MCW interface definition</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MCW system capacity, refurbishment, chemistry, and operation</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MCW chiller evaluation, replacement, or capacity upgrade</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Leak testing, monitoring, alarms, and interlocks</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bl>
    <w:p w:rsidR="00211E08" w:rsidRDefault="00211E08" w:rsidP="00211E08">
      <w:pPr>
        <w:pStyle w:val="Heading2"/>
      </w:pPr>
      <w:bookmarkStart w:id="29" w:name="_Toc233272933"/>
      <w:bookmarkStart w:id="30" w:name="_Toc234935694"/>
      <w:r>
        <w:t>Cryogenic Interface</w:t>
      </w:r>
      <w:bookmarkEnd w:id="29"/>
      <w:bookmarkEnd w:id="30"/>
    </w:p>
    <w:p w:rsidR="00211E08" w:rsidRDefault="00211E08" w:rsidP="00211E08">
      <w:pPr>
        <w:pStyle w:val="Body2"/>
      </w:pPr>
      <w:r>
        <w:t>GR-8 Cryogenic Interface for MARCO Magnet: Cryogenic infrastructure shall support the MARCO superconducting magnet cooling requirements during detector commissioning, operation, and standby conditions in both the Experimental Hall and Assembly Hall. Cryogenic components, routing, penetrations, platforms, services, and access provisions shall remain compatible with detector-defined envelopes, platform interfaces, magnet requirements, facility constraints, and safety/ODH requirements. Cryogenic interfaces shall be reviewed and accepted by the responsible groups before installation or operation.</w:t>
      </w:r>
    </w:p>
    <w:p w:rsidR="00211E08" w:rsidRDefault="00211E08" w:rsidP="00211E08">
      <w:pPr>
        <w:pStyle w:val="Heading3"/>
      </w:pPr>
      <w:r>
        <w:t>Purpose</w:t>
      </w:r>
    </w:p>
    <w:p w:rsidR="00211E08" w:rsidRDefault="00211E08" w:rsidP="00211E08">
      <w:pPr>
        <w:pStyle w:val="Body3"/>
        <w:rPr>
          <w:sz w:val="24"/>
        </w:rPr>
      </w:pPr>
      <w:r>
        <w:t>This section describes the cryogenic interfaces required to supply liquid helium to the MARCO superconducting magnet during detector installation, commissioning, operation, and detector movement between the Experimental Hall and Assembly Hall.</w:t>
      </w:r>
    </w:p>
    <w:p w:rsidR="00211E08" w:rsidRDefault="00211E08" w:rsidP="00211E08">
      <w:pPr>
        <w:pStyle w:val="Heading3"/>
      </w:pPr>
      <w:r>
        <w:t>Responsibilities</w:t>
      </w:r>
    </w:p>
    <w:tbl>
      <w:tblPr>
        <w:tblStyle w:val="ResponsibilityTable"/>
        <w:tblW w:w="0" w:type="auto"/>
        <w:tblInd w:w="265" w:type="dxa"/>
        <w:tblLook w:val="04A0" w:firstRow="1" w:lastRow="0" w:firstColumn="1" w:lastColumn="0" w:noHBand="0" w:noVBand="1"/>
      </w:tblPr>
      <w:tblGrid>
        <w:gridCol w:w="1186"/>
        <w:gridCol w:w="2383"/>
        <w:gridCol w:w="2580"/>
        <w:gridCol w:w="1576"/>
        <w:gridCol w:w="1360"/>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hideMark/>
          </w:tcPr>
          <w:p w:rsidR="00211E08" w:rsidRDefault="00211E08" w:rsidP="001C562C">
            <w:pPr>
              <w:pStyle w:val="TableHeader"/>
              <w:rPr>
                <w:b w:val="0"/>
              </w:rPr>
            </w:pPr>
            <w:r>
              <w:t>Interface</w:t>
            </w:r>
          </w:p>
        </w:tc>
        <w:tc>
          <w:tcPr>
            <w:tcW w:w="2383" w:type="dxa"/>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Cryogenic Group Responsibility</w:t>
            </w:r>
          </w:p>
        </w:tc>
        <w:tc>
          <w:tcPr>
            <w:tcW w:w="2580" w:type="dxa"/>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Detector / I³ Responsibility</w:t>
            </w:r>
          </w:p>
        </w:tc>
        <w:tc>
          <w:tcPr>
            <w:tcW w:w="0" w:type="auto"/>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FIPD Responsibility</w:t>
            </w:r>
          </w:p>
        </w:tc>
        <w:tc>
          <w:tcPr>
            <w:tcW w:w="0" w:type="auto"/>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947" w:type="dxa"/>
            <w:hideMark/>
          </w:tcPr>
          <w:p w:rsidR="00211E08" w:rsidRPr="00C307D3" w:rsidRDefault="00211E08" w:rsidP="001C562C">
            <w:pPr>
              <w:pStyle w:val="TableHeader"/>
              <w:rPr>
                <w:b w:val="0"/>
              </w:rPr>
            </w:pPr>
            <w:r w:rsidRPr="00C307D3">
              <w:rPr>
                <w:b w:val="0"/>
              </w:rPr>
              <w:t>Experimental Hall Cryogenic Supply</w:t>
            </w:r>
          </w:p>
        </w:tc>
        <w:tc>
          <w:tcPr>
            <w:tcW w:w="238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Design, deliver, install, and commission the cryogenic supply system for the MARCO magnet, including the Experimental Hall cryostat, cryogenic lines, jumper lines, manifold connections, and required labor.</w:t>
            </w:r>
          </w:p>
        </w:tc>
        <w:tc>
          <w:tcPr>
            <w:tcW w:w="258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MARCO magnet cryogenic requirements, phase-separator interface, cooldown/standby requirements, and magnet operating constraints. Define detector/platform envelopes, installation constraints, access needs, and integration requirements for cryogenic routing near the detector and platforms.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facility interfaces, including building penetrations, facility access, and platform/facility support required for cryogenic installation.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cryogenic safety, ODH, access, egress, work controls, and operating readiness.</w:t>
            </w:r>
          </w:p>
        </w:tc>
      </w:tr>
      <w:tr w:rsidR="00211E08" w:rsidTr="001C562C">
        <w:tc>
          <w:tcPr>
            <w:cnfStyle w:val="001000000000" w:firstRow="0" w:lastRow="0" w:firstColumn="1" w:lastColumn="0" w:oddVBand="0" w:evenVBand="0" w:oddHBand="0" w:evenHBand="0" w:firstRowFirstColumn="0" w:firstRowLastColumn="0" w:lastRowFirstColumn="0" w:lastRowLastColumn="0"/>
            <w:tcW w:w="947" w:type="dxa"/>
            <w:hideMark/>
          </w:tcPr>
          <w:p w:rsidR="00211E08" w:rsidRPr="00C307D3" w:rsidRDefault="00211E08" w:rsidP="001C562C">
            <w:pPr>
              <w:pStyle w:val="TableHeader"/>
              <w:rPr>
                <w:b w:val="0"/>
              </w:rPr>
            </w:pPr>
            <w:r w:rsidRPr="00C307D3">
              <w:rPr>
                <w:b w:val="0"/>
              </w:rPr>
              <w:t>South Platform Cryogenic Interface</w:t>
            </w:r>
          </w:p>
        </w:tc>
        <w:tc>
          <w:tcPr>
            <w:tcW w:w="238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Route cryogenic jumper lines from the Experimental Hall cryostat to the manifold on the third level of the South platform and define required connection, support, and access needs.</w:t>
            </w:r>
          </w:p>
        </w:tc>
        <w:tc>
          <w:tcPr>
            <w:tcW w:w="258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Confirm compatibility with MARCO magnet cryogenic connections and operating requirements. Coordinate South platform space, detector access, routing constraints, and interference control with </w:t>
            </w:r>
            <w:r>
              <w:lastRenderedPageBreak/>
              <w:t>detector services and platform equipment.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Support facility/platform interfaces as required for installation.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personnel access, egress, guarding, and cryogenic hazard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947" w:type="dxa"/>
            <w:hideMark/>
          </w:tcPr>
          <w:p w:rsidR="00211E08" w:rsidRPr="00C307D3" w:rsidRDefault="00211E08" w:rsidP="001C562C">
            <w:pPr>
              <w:pStyle w:val="TableHeader"/>
              <w:rPr>
                <w:b w:val="0"/>
              </w:rPr>
            </w:pPr>
            <w:r w:rsidRPr="00C307D3">
              <w:rPr>
                <w:b w:val="0"/>
              </w:rPr>
              <w:t>Assembly Hall Cryogenic Standby Interface</w:t>
            </w:r>
          </w:p>
        </w:tc>
        <w:tc>
          <w:tcPr>
            <w:tcW w:w="238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Assembly Hall cryostat and temporary/standby cryogenic connection needed to keep the MARCO magnet cold when the detector is in the Assembly Hall.</w:t>
            </w:r>
          </w:p>
        </w:tc>
        <w:tc>
          <w:tcPr>
            <w:tcW w:w="258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allowable magnet standby temperature and thermal-cycling limits. Coordinate detector movement, Assembly Hall access, platform configuration, and connection/disconnection planning.</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Assembly Hall facility interfaces and access needed for the standby cryogenic system.</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ODH, cryogenic handling, access, and work controls during standby operation.</w:t>
            </w:r>
          </w:p>
        </w:tc>
      </w:tr>
    </w:tbl>
    <w:p w:rsidR="00211E08" w:rsidRDefault="00211E08" w:rsidP="00211E08">
      <w:pPr>
        <w:pStyle w:val="Heading3"/>
        <w:rPr>
          <w:rFonts w:eastAsia="Times New Roman"/>
          <w:sz w:val="28"/>
          <w:szCs w:val="28"/>
        </w:rPr>
      </w:pPr>
      <w:r>
        <w:t>Implementation Guidelines</w:t>
      </w:r>
    </w:p>
    <w:p w:rsidR="00211E08" w:rsidRDefault="00211E08" w:rsidP="00211E08">
      <w:pPr>
        <w:pStyle w:val="Body3Bulleted"/>
        <w:rPr>
          <w:sz w:val="24"/>
        </w:rPr>
      </w:pPr>
      <w:r>
        <w:t>The Cryogenic Group shall be responsible for the design, delivery, installation support, and commissioning of the cryogenic system serving the MARCO superconducting magnet.</w:t>
      </w:r>
    </w:p>
    <w:p w:rsidR="00211E08" w:rsidRDefault="00211E08" w:rsidP="00211E08">
      <w:pPr>
        <w:pStyle w:val="Body3Bulleted"/>
      </w:pPr>
      <w:r>
        <w:t>The Experimental Hall cryostat shall be located on the East Wall / Hadron Side of the Experimental Hall.</w:t>
      </w:r>
    </w:p>
    <w:p w:rsidR="00211E08" w:rsidRDefault="00211E08" w:rsidP="00211E08">
      <w:pPr>
        <w:pStyle w:val="Body3Bulleted"/>
      </w:pPr>
      <w:r>
        <w:t>Cryogenic jumper lines shall route from the Experimental Hall cryostat to a manifold on the third level of the South platform, and from there to the MARCO magnet phase separator.</w:t>
      </w:r>
    </w:p>
    <w:p w:rsidR="00211E08" w:rsidRDefault="00211E08" w:rsidP="00211E08">
      <w:pPr>
        <w:pStyle w:val="Body3Bulleted"/>
      </w:pPr>
      <w:r>
        <w:t>Cryogenic routing, supports, penetrations, and access areas shall be coordinated with detector envelopes, platform layouts, magnet requirements, building interfaces, and safety requirements.</w:t>
      </w:r>
    </w:p>
    <w:p w:rsidR="00211E08" w:rsidRDefault="00211E08" w:rsidP="00211E08">
      <w:pPr>
        <w:pStyle w:val="Body3Bulleted"/>
      </w:pPr>
      <w:r>
        <w:t>Building penetrations and facility/platform interfaces required for cryogenic installation shall be coordinated with FIPD.</w:t>
      </w:r>
    </w:p>
    <w:p w:rsidR="00211E08" w:rsidRDefault="00211E08" w:rsidP="00211E08">
      <w:pPr>
        <w:pStyle w:val="Body3Bulleted"/>
      </w:pPr>
      <w:r>
        <w:t xml:space="preserve">The MARCO magnet does not have to be kept cold during detector movement. In the Assembly Hall it can be cooled using Liquid Nitrogen to reduce thermal cycling of the superconducting magnet. </w:t>
      </w:r>
    </w:p>
    <w:p w:rsidR="00211E08" w:rsidRDefault="00211E08" w:rsidP="00211E08">
      <w:pPr>
        <w:pStyle w:val="Body3Bulleted"/>
      </w:pPr>
      <w:r>
        <w:t>An Assembly Hall cryostat shall be provided for standby cooling when the detector is located in the Assembly Hall.</w:t>
      </w:r>
    </w:p>
    <w:p w:rsidR="00211E08" w:rsidRDefault="00211E08" w:rsidP="00211E08">
      <w:pPr>
        <w:pStyle w:val="Body3Bulleted"/>
      </w:pPr>
      <w:r>
        <w:t>Cryogenic connections shall be arranged so that detector movement, platform access, personnel access, and required safety/egress paths are not obstructed.</w:t>
      </w:r>
    </w:p>
    <w:p w:rsidR="00211E08" w:rsidRDefault="00211E08" w:rsidP="00211E08">
      <w:pPr>
        <w:pStyle w:val="Heading3"/>
        <w:rPr>
          <w:rFonts w:eastAsia="Times New Roman"/>
          <w:sz w:val="28"/>
          <w:szCs w:val="28"/>
        </w:rPr>
      </w:pPr>
      <w:r>
        <w:t>Responsible/Accountable/Consulted/Informed Matrix</w:t>
      </w:r>
    </w:p>
    <w:tbl>
      <w:tblPr>
        <w:tblStyle w:val="RACI"/>
        <w:tblW w:w="9124" w:type="dxa"/>
        <w:tblInd w:w="265" w:type="dxa"/>
        <w:tblLook w:val="04A0" w:firstRow="1" w:lastRow="0" w:firstColumn="1" w:lastColumn="0" w:noHBand="0" w:noVBand="1"/>
      </w:tblPr>
      <w:tblGrid>
        <w:gridCol w:w="3294"/>
        <w:gridCol w:w="1659"/>
        <w:gridCol w:w="1069"/>
        <w:gridCol w:w="561"/>
        <w:gridCol w:w="855"/>
        <w:gridCol w:w="936"/>
        <w:gridCol w:w="750"/>
      </w:tblGrid>
      <w:tr w:rsidR="00211E08" w:rsidTr="001C562C">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rPr>
                <w:b w:val="0"/>
              </w:rPr>
            </w:pPr>
            <w:r>
              <w:t>Deliverable / Activity</w:t>
            </w:r>
          </w:p>
        </w:tc>
        <w:tc>
          <w:tcPr>
            <w:tcW w:w="1659"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1069"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561"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85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Cryo</w:t>
            </w:r>
          </w:p>
        </w:tc>
        <w:tc>
          <w:tcPr>
            <w:tcW w:w="936"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750"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r>
      <w:tr w:rsidR="00211E08" w:rsidTr="001C562C">
        <w:trPr>
          <w:trHeight w:val="54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Experimental Hall cryogenic system design and delivery</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438"/>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Building penetrations for cryogenic lines</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384"/>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Experimental Hall cryostat installation interface</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39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South platform manifold and jumper-line interface</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48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Assembly Hall cryostat and standby cooling interface</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447"/>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MARCO phase-separator cryogenic connection</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54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lastRenderedPageBreak/>
              <w:t>Cryogenic safety, ODH, alarms, and operating readiness</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r>
    </w:tbl>
    <w:p w:rsidR="00211E08" w:rsidRPr="00C10162" w:rsidRDefault="00211E08" w:rsidP="00211E08">
      <w:pPr>
        <w:pStyle w:val="Heading2"/>
      </w:pPr>
      <w:bookmarkStart w:id="31" w:name="_Toc233272934"/>
      <w:bookmarkStart w:id="32" w:name="_Toc234935695"/>
      <w:r w:rsidRPr="00C10162">
        <w:t>Safety/ES&amp;H Interfaces</w:t>
      </w:r>
      <w:bookmarkEnd w:id="31"/>
      <w:bookmarkEnd w:id="32"/>
    </w:p>
    <w:p w:rsidR="00211E08" w:rsidRPr="00854AC7" w:rsidRDefault="00211E08" w:rsidP="00211E08">
      <w:pPr>
        <w:pStyle w:val="Body2SubHead"/>
      </w:pPr>
      <w:r w:rsidRPr="00854AC7">
        <w:t>GR-9.1 Egress and Emergency Access</w:t>
      </w:r>
    </w:p>
    <w:p w:rsidR="00211E08" w:rsidRDefault="00211E08" w:rsidP="00211E08">
      <w:pPr>
        <w:pStyle w:val="Body2"/>
      </w:pPr>
      <w:r>
        <w:t>Building 1006 detector installation, movement, commissioning, operation, and maintenance configurations shall maintain required egress and emergency access. A continuous 36 in. rear corridor shall be maintained in the Experimental Hall unless an approved temporary control plan is in place.</w:t>
      </w:r>
    </w:p>
    <w:p w:rsidR="00211E08" w:rsidRDefault="00211E08" w:rsidP="00211E08">
      <w:pPr>
        <w:pStyle w:val="Body2SubHead"/>
      </w:pPr>
      <w:r>
        <w:t>GR-9.2 Lifting, Transport, and Detector Movement Safety</w:t>
      </w:r>
    </w:p>
    <w:p w:rsidR="00211E08" w:rsidRDefault="00211E08" w:rsidP="00211E08">
      <w:pPr>
        <w:pStyle w:val="Body2"/>
      </w:pPr>
      <w:r>
        <w:t>Detector lifting, handling, transport, and movement activities shall be performed only after applicable lift plans, movement controls, exclusion zones, communication plans, and Safety / ES&amp;H reviews have been completed and approved.</w:t>
      </w:r>
    </w:p>
    <w:p w:rsidR="00211E08" w:rsidRDefault="00211E08" w:rsidP="00211E08">
      <w:pPr>
        <w:pStyle w:val="Body2SubHead"/>
      </w:pPr>
      <w:r>
        <w:t>GR-9.3 Electrical Safety, E-Stops, and Interlocks</w:t>
      </w:r>
    </w:p>
    <w:p w:rsidR="00211E08" w:rsidRDefault="00211E08" w:rsidP="00211E08">
      <w:pPr>
        <w:pStyle w:val="Body2"/>
      </w:pPr>
      <w:r>
        <w:t>Electrical power, grounding, E-Stops, LOTO provisions, guarding, labeling, and interlock interfaces shall be verified before energization or operation of affected detector, magnet, vacuum, cryogenic, or platform systems.</w:t>
      </w:r>
    </w:p>
    <w:p w:rsidR="00211E08" w:rsidRDefault="00211E08" w:rsidP="00211E08">
      <w:pPr>
        <w:pStyle w:val="Body2SubHead"/>
      </w:pPr>
      <w:r>
        <w:t>GR-9.4 Fire Protection and Hot Work</w:t>
      </w:r>
    </w:p>
    <w:p w:rsidR="00211E08" w:rsidRDefault="00211E08" w:rsidP="00211E08">
      <w:pPr>
        <w:pStyle w:val="Body2"/>
      </w:pPr>
      <w:r>
        <w:t>Fire-protection systems, including smoke detection and sprinkler coverage, shall be verified for ePIC configurations. Hot work and fire-protection impairments shall be performed only under approved controls, including permits, compensatory measures, fire watch, and post-work inspection where required.</w:t>
      </w:r>
    </w:p>
    <w:p w:rsidR="00211E08" w:rsidRDefault="00211E08" w:rsidP="00211E08">
      <w:pPr>
        <w:pStyle w:val="Body2SubHead"/>
      </w:pPr>
      <w:r>
        <w:t>GR-9.5 ODH and Cryogenic Safety</w:t>
      </w:r>
    </w:p>
    <w:p w:rsidR="00211E08" w:rsidRDefault="00211E08" w:rsidP="00211E08">
      <w:pPr>
        <w:pStyle w:val="Body2"/>
      </w:pPr>
      <w:r>
        <w:t>ODH and cryogenic safety controls shall be defined and approved based on the final helium inventory, cryogenic configuration, release scenarios, ventilation, occupancy, and emergency-response requirements before cryogenic operation.</w:t>
      </w:r>
    </w:p>
    <w:p w:rsidR="00211E08" w:rsidRDefault="00211E08" w:rsidP="00211E08">
      <w:pPr>
        <w:pStyle w:val="Heading3"/>
      </w:pPr>
      <w:r>
        <w:t>Purpose</w:t>
      </w:r>
    </w:p>
    <w:p w:rsidR="00211E08" w:rsidRDefault="00211E08" w:rsidP="00211E08">
      <w:pPr>
        <w:pStyle w:val="Body3"/>
        <w:rPr>
          <w:sz w:val="24"/>
        </w:rPr>
      </w:pPr>
      <w:r>
        <w:t>This section describes the Safety / ES&amp;H interfaces for ePIC installation, detector movement, commissioning, operation, maintenance, fire protection, cryogenic operation, and emergency access in Building 1006. For this document, Safety includes applicable fire-safety responsibilities.</w:t>
      </w:r>
    </w:p>
    <w:p w:rsidR="00211E08" w:rsidRDefault="00211E08" w:rsidP="00211E08">
      <w:pPr>
        <w:pStyle w:val="Heading3"/>
      </w:pPr>
      <w:r>
        <w:t>Responsibilities</w:t>
      </w:r>
    </w:p>
    <w:tbl>
      <w:tblPr>
        <w:tblStyle w:val="ResponsibilityTable"/>
        <w:tblW w:w="0" w:type="auto"/>
        <w:tblInd w:w="265" w:type="dxa"/>
        <w:tblLook w:val="04A0" w:firstRow="1" w:lastRow="0" w:firstColumn="1" w:lastColumn="0" w:noHBand="0" w:noVBand="1"/>
      </w:tblPr>
      <w:tblGrid>
        <w:gridCol w:w="1907"/>
        <w:gridCol w:w="1880"/>
        <w:gridCol w:w="1793"/>
        <w:gridCol w:w="1800"/>
        <w:gridCol w:w="1705"/>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7" w:type="dxa"/>
            <w:hideMark/>
          </w:tcPr>
          <w:p w:rsidR="00211E08" w:rsidRDefault="00211E08" w:rsidP="001C562C">
            <w:pPr>
              <w:pStyle w:val="TableEntry"/>
              <w:rPr>
                <w:b w:val="0"/>
              </w:rPr>
            </w:pPr>
            <w:r>
              <w:t>Interface</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 / Responsibility</w:t>
            </w:r>
          </w:p>
        </w:tc>
        <w:tc>
          <w:tcPr>
            <w:tcW w:w="179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 Responsibility</w:t>
            </w:r>
          </w:p>
        </w:tc>
        <w:tc>
          <w:tcPr>
            <w:tcW w:w="1800"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 / Vacuum / Cryo Responsibility</w:t>
            </w:r>
          </w:p>
        </w:tc>
        <w:tc>
          <w:tcPr>
            <w:tcW w:w="170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t>Access, Egress, and Work Areas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access needs, work envelopes, platform access, and installation constraints.</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Maintain facility access, exits, building access routes, and facility-side conditions.</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equipment, services, temporary hardware, or work activities that affect access or egress.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and approve access, egress, barricading, housekeeping, and emergency-access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t>Lifting, Transport, and Detector Movement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Define detector lift, handling, </w:t>
            </w:r>
            <w:r>
              <w:lastRenderedPageBreak/>
              <w:t>cradle/platform movement, and movement-sequence requirements.</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Provide facility crane and building support </w:t>
            </w:r>
            <w:r>
              <w:lastRenderedPageBreak/>
              <w:t>interfaces, including Assembly Hall and Experimental Hall crane coordination.</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Identify system constraints that </w:t>
            </w:r>
            <w:r>
              <w:lastRenderedPageBreak/>
              <w:t>affect lifting, movement, equipment access, or temporary work areas.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Review lift plans, movement controls, </w:t>
            </w:r>
            <w:r>
              <w:lastRenderedPageBreak/>
              <w:t>exclusion zones, spotters, communications, and stop-work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lastRenderedPageBreak/>
              <w:t>Electrical and Interlock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grounding, platform, E-Stop, and detector-side interlock needs.</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facility electrical interfaces and power-distribution safety requirements.</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magnet, vacuum, cryogenic, and equipment interlock/safety needs.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electrical safety, LOTO, guarding, labeling, E-Stops, interlocks, and readiness before energization.</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t>Fire Protection and Hot Work</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detector configurations or installation activities affecting fire protection or hot work.</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facility fire-protection interfaces and impairment coordination.</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hot-work or equipment impacts associated with their systems.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HSSD/smoke detection, sprinklers, alarms, fire impairments, hot-work permits, fire watch, and post-work checks.</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Default="00211E08" w:rsidP="001C562C">
            <w:pPr>
              <w:pStyle w:val="TableEntry"/>
            </w:pPr>
            <w:r>
              <w:t>ODH and Cryogenic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detector occupancy, access, and configuration impacts related to cryogenic operation.</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facility interfaces for ODH controls, ventilation, alarms, and emergency access.</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cryogenic inventory, release scenarios, venting/relief needs, and operating constraints.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Perform or review ODH classification and approve required controls, monitoring, posting, training, and readiness.</w:t>
            </w:r>
          </w:p>
        </w:tc>
      </w:tr>
    </w:tbl>
    <w:p w:rsidR="00211E08" w:rsidRDefault="00211E08" w:rsidP="00211E08">
      <w:pPr>
        <w:pStyle w:val="Heading3"/>
        <w:rPr>
          <w:rFonts w:eastAsia="Times New Roman"/>
          <w:sz w:val="28"/>
          <w:szCs w:val="28"/>
        </w:rPr>
      </w:pPr>
      <w:r>
        <w:t>Implementation Guidelines</w:t>
      </w:r>
    </w:p>
    <w:p w:rsidR="00211E08" w:rsidRDefault="00211E08" w:rsidP="00211E08">
      <w:pPr>
        <w:pStyle w:val="Body3SubHead"/>
        <w:rPr>
          <w:sz w:val="24"/>
        </w:rPr>
      </w:pPr>
      <w:r>
        <w:t>Access, Egress, and Work Areas</w:t>
      </w:r>
    </w:p>
    <w:p w:rsidR="00211E08" w:rsidRDefault="00211E08" w:rsidP="00211E08">
      <w:pPr>
        <w:pStyle w:val="Body3Bulleted"/>
      </w:pPr>
      <w:r>
        <w:t xml:space="preserve">A continuous </w:t>
      </w:r>
      <w:r>
        <w:rPr>
          <w:b/>
          <w:bCs/>
        </w:rPr>
        <w:t>36 in. rear corridor</w:t>
      </w:r>
      <w:r>
        <w:t xml:space="preserve"> shall be maintained in the Experimental Hall unless an approved temporary control plan is in place.</w:t>
      </w:r>
    </w:p>
    <w:p w:rsidR="00211E08" w:rsidRDefault="00211E08" w:rsidP="00211E08">
      <w:pPr>
        <w:pStyle w:val="Body3Bulleted"/>
      </w:pPr>
      <w:r>
        <w:t>Exits, extinguishers, pull stations, electrical panels, access routes, and emergency-response paths shall remain unobstructed.</w:t>
      </w:r>
    </w:p>
    <w:p w:rsidR="00211E08" w:rsidRDefault="00211E08" w:rsidP="00211E08">
      <w:pPr>
        <w:pStyle w:val="Body3Bulleted"/>
      </w:pPr>
      <w:r>
        <w:t>Temporary obstructions or configuration changes affecting access, egress, emergency response, or work-area safety shall require review and approval.</w:t>
      </w:r>
    </w:p>
    <w:p w:rsidR="00211E08" w:rsidRDefault="00211E08" w:rsidP="00211E08">
      <w:pPr>
        <w:pStyle w:val="Body3Bulleted"/>
      </w:pPr>
      <w:r>
        <w:t>Required signage, barricades, work-area postings, egress diagrams, and daily pre-job communication shall be provided as applicable.</w:t>
      </w:r>
    </w:p>
    <w:p w:rsidR="00211E08" w:rsidRDefault="00211E08" w:rsidP="00211E08">
      <w:pPr>
        <w:pStyle w:val="Body3SubHead"/>
      </w:pPr>
      <w:r>
        <w:t>Lifting, Transport, and Detector Movement</w:t>
      </w:r>
    </w:p>
    <w:p w:rsidR="00211E08" w:rsidRDefault="00211E08" w:rsidP="00211E08">
      <w:pPr>
        <w:pStyle w:val="Body3Bulleted"/>
      </w:pPr>
      <w:r>
        <w:t xml:space="preserve">Assembly Hall crane capacity is </w:t>
      </w:r>
      <w:r>
        <w:rPr>
          <w:b/>
          <w:bCs/>
        </w:rPr>
        <w:t>40 tons</w:t>
      </w:r>
      <w:r>
        <w:t xml:space="preserve"> and Experimental Hall crane capacity is </w:t>
      </w:r>
      <w:r>
        <w:rPr>
          <w:b/>
          <w:bCs/>
        </w:rPr>
        <w:t>20 tons</w:t>
      </w:r>
      <w:r>
        <w:t>. Loads exceeding available crane capacity shall require alternate handling plans.</w:t>
      </w:r>
    </w:p>
    <w:p w:rsidR="00211E08" w:rsidRDefault="00211E08" w:rsidP="00211E08">
      <w:pPr>
        <w:pStyle w:val="Body3Bulleted"/>
      </w:pPr>
      <w:r>
        <w:t>Crane and rigging activities shall follow approved lift plans, pre-job briefs, rigging inspections, exclusion zones, and communication controls.</w:t>
      </w:r>
    </w:p>
    <w:p w:rsidR="00211E08" w:rsidRDefault="00211E08" w:rsidP="00211E08">
      <w:pPr>
        <w:pStyle w:val="Body3Bulleted"/>
      </w:pPr>
      <w:r>
        <w:t>Detector cradle/platform movement on Hillman rollers shall require approved movement controls, barricades, spotters, and rail/move-path readiness acceptance.</w:t>
      </w:r>
    </w:p>
    <w:p w:rsidR="00211E08" w:rsidRDefault="00211E08" w:rsidP="00211E08">
      <w:pPr>
        <w:pStyle w:val="Body3Bulleted"/>
      </w:pPr>
      <w:r>
        <w:lastRenderedPageBreak/>
        <w:t>Personnel access and work activities near lift paths, rail paths, or moving detector assemblies shall be controlled during movement.</w:t>
      </w:r>
    </w:p>
    <w:p w:rsidR="00211E08" w:rsidRDefault="00211E08" w:rsidP="00211E08">
      <w:pPr>
        <w:pStyle w:val="Body3SubHead"/>
      </w:pPr>
      <w:r>
        <w:t>Electrical Safety and Interlocks</w:t>
      </w:r>
    </w:p>
    <w:p w:rsidR="00211E08" w:rsidRDefault="00211E08" w:rsidP="00211E08">
      <w:pPr>
        <w:pStyle w:val="Body3Bulleted"/>
      </w:pPr>
      <w:r>
        <w:t>Electrical work shall include required guarding, grounding, labeling, LOTO provisions, E-Stops, and interlock verification.</w:t>
      </w:r>
    </w:p>
    <w:p w:rsidR="00211E08" w:rsidRDefault="00211E08" w:rsidP="00211E08">
      <w:pPr>
        <w:pStyle w:val="Body3Bulleted"/>
      </w:pPr>
      <w:r>
        <w:t>E-Stops, electrical interlocks, magnet-power interfaces, vacuum-equipment interfaces, cryogenic interfaces, and other safety-related controls shall be verified before energization or operation of affected systems.</w:t>
      </w:r>
    </w:p>
    <w:p w:rsidR="00211E08" w:rsidRDefault="00211E08" w:rsidP="00211E08">
      <w:pPr>
        <w:pStyle w:val="Body3Bulleted"/>
      </w:pPr>
      <w:r>
        <w:t>Electrical panels and energized equipment areas shall remain accessible and protected from water, trip hazards, and unauthorized access.</w:t>
      </w:r>
    </w:p>
    <w:p w:rsidR="00211E08" w:rsidRDefault="00211E08" w:rsidP="00211E08">
      <w:pPr>
        <w:pStyle w:val="Body3SubHead"/>
      </w:pPr>
      <w:r>
        <w:t>Fire Protection and Hot Work</w:t>
      </w:r>
    </w:p>
    <w:p w:rsidR="00211E08" w:rsidRDefault="00211E08" w:rsidP="00211E08">
      <w:pPr>
        <w:pStyle w:val="Body3Bulleted"/>
      </w:pPr>
      <w:r>
        <w:t>HSSD/smoke detection and sprinkler systems shall be inspected, tested, refurbished, or modified as required for ePIC use.</w:t>
      </w:r>
    </w:p>
    <w:p w:rsidR="00211E08" w:rsidRDefault="00211E08" w:rsidP="00211E08">
      <w:pPr>
        <w:pStyle w:val="Body3Bulleted"/>
      </w:pPr>
      <w:r>
        <w:t>Sprinkler coverage shall be maintained in the Assembly Hall and Experimental Hall unless an approved impairment and compensatory-measure plan is in place.</w:t>
      </w:r>
    </w:p>
    <w:p w:rsidR="00211E08" w:rsidRDefault="00211E08" w:rsidP="00211E08">
      <w:pPr>
        <w:pStyle w:val="Body3Bulleted"/>
      </w:pPr>
      <w:r>
        <w:t>Fire-protection impairments shall require approved compensatory measures.</w:t>
      </w:r>
    </w:p>
    <w:p w:rsidR="00211E08" w:rsidRDefault="00211E08" w:rsidP="00211E08">
      <w:pPr>
        <w:pStyle w:val="Body3Bulleted"/>
      </w:pPr>
      <w:r>
        <w:t>Hot work shall require permit approval, spark containment, fire watch, and post-work inspection.</w:t>
      </w:r>
    </w:p>
    <w:p w:rsidR="00211E08" w:rsidRDefault="00211E08" w:rsidP="00211E08">
      <w:pPr>
        <w:pStyle w:val="Body3SubHead"/>
      </w:pPr>
      <w:r>
        <w:t>ODH and Cryogenic Safety</w:t>
      </w:r>
    </w:p>
    <w:p w:rsidR="00211E08" w:rsidRDefault="00211E08" w:rsidP="00211E08">
      <w:pPr>
        <w:pStyle w:val="Body3Bulleted"/>
      </w:pPr>
      <w:r>
        <w:t>Building 1006 ODH controls shall be based on the final helium inventory, cryogenic configuration, release scenarios, ventilation, and occupancy conditions.</w:t>
      </w:r>
    </w:p>
    <w:p w:rsidR="00211E08" w:rsidRDefault="00211E08" w:rsidP="00211E08">
      <w:pPr>
        <w:pStyle w:val="Body3Bulleted"/>
      </w:pPr>
      <w:r>
        <w:t>Final ODH classification shall be reviewed and approved by Safety / ES&amp;H.</w:t>
      </w:r>
    </w:p>
    <w:p w:rsidR="00211E08" w:rsidRDefault="00211E08" w:rsidP="00211E08">
      <w:pPr>
        <w:pStyle w:val="Body3Bulleted"/>
      </w:pPr>
      <w:r>
        <w:t>Required ODH controls may include relief/vent routing, oxygen monitors, alarms, EMS tie-in, posted boundaries, training, and emergency-response procedures.</w:t>
      </w:r>
    </w:p>
    <w:p w:rsidR="00211E08" w:rsidRDefault="00211E08" w:rsidP="00211E08">
      <w:pPr>
        <w:pStyle w:val="Body3Bulleted"/>
      </w:pPr>
      <w:r>
        <w:t>Cryogenic installation and operation shall maintain required access, egress, personnel protection, venting/relief paths, and emergency-response provisions.</w:t>
      </w:r>
    </w:p>
    <w:p w:rsidR="00211E08" w:rsidRDefault="00211E08" w:rsidP="00211E08">
      <w:pPr>
        <w:pStyle w:val="Body3SubHead"/>
      </w:pPr>
      <w:r>
        <w:t>Magnet, Vacuum, Cooling, and Cryogenic Hazards</w:t>
      </w:r>
    </w:p>
    <w:p w:rsidR="00211E08" w:rsidRDefault="00211E08" w:rsidP="00211E08">
      <w:pPr>
        <w:pStyle w:val="Body3Bulleted"/>
      </w:pPr>
      <w:r>
        <w:t>Magnetic-field boundaries, pacemaker/tool restrictions, ferromagnetic-material controls, vacuum-equipment hazards, cooling-water leak hazards, and cryogenic hazards shall be identified and controlled as applicable.</w:t>
      </w:r>
    </w:p>
    <w:p w:rsidR="00211E08" w:rsidRDefault="00211E08" w:rsidP="00211E08">
      <w:pPr>
        <w:pStyle w:val="Body3Bulleted"/>
      </w:pPr>
      <w:r>
        <w:t>Equipment placement, routing, and temporary work near detector, magnet, vacuum, cooling, or cryogenic systems shall be reviewed for access, egress, clearance, and safety impacts.</w:t>
      </w:r>
    </w:p>
    <w:p w:rsidR="00211E08" w:rsidRDefault="00211E08" w:rsidP="00211E08">
      <w:pPr>
        <w:pStyle w:val="Body3SubHead"/>
      </w:pPr>
      <w:r>
        <w:t>Construction, Refurbishment, and Facility Work</w:t>
      </w:r>
    </w:p>
    <w:p w:rsidR="00211E08" w:rsidRDefault="00211E08" w:rsidP="00211E08">
      <w:pPr>
        <w:pStyle w:val="Body3Bulleted"/>
      </w:pPr>
      <w:r>
        <w:t>Construction or refurbishment work affecting rails, building penetrations, concrete, utilities, or fire/safety systems shall follow applicable work-control, dust/silica, barricading, inspection, and acceptance requirements.</w:t>
      </w:r>
    </w:p>
    <w:p w:rsidR="00211E08" w:rsidRDefault="00211E08" w:rsidP="00211E08">
      <w:pPr>
        <w:pStyle w:val="Body3Bulleted"/>
      </w:pPr>
      <w:r>
        <w:lastRenderedPageBreak/>
        <w:t>Facility or safety-system changes shall be reviewed before implementation where they affect detector installation, movement, operation, or emergency response.</w:t>
      </w:r>
    </w:p>
    <w:p w:rsidR="00211E08" w:rsidRDefault="00211E08" w:rsidP="00211E08">
      <w:pPr>
        <w:pStyle w:val="Body3SubHead"/>
      </w:pPr>
      <w:r>
        <w:t>Training, PPE, and Qualifications</w:t>
      </w:r>
    </w:p>
    <w:p w:rsidR="00211E08" w:rsidRDefault="00211E08" w:rsidP="00211E08">
      <w:pPr>
        <w:pStyle w:val="Body3Bulleted"/>
      </w:pPr>
      <w:r>
        <w:t>Personnel shall have required training, PPE, and qualifications for assigned work, including crane/rigging, LOTO, hot work, electrical safety, ODH if required, energized testing, welding/cutting, and aerial-lift operation.</w:t>
      </w:r>
    </w:p>
    <w:p w:rsidR="00211E08" w:rsidRDefault="00211E08" w:rsidP="00211E08">
      <w:pPr>
        <w:pStyle w:val="Heading3"/>
        <w:rPr>
          <w:rFonts w:eastAsia="Times New Roman"/>
          <w:sz w:val="28"/>
          <w:szCs w:val="28"/>
        </w:rPr>
      </w:pPr>
      <w:r>
        <w:t>Responsible/Accountable/Consulted/Informed Matrix</w:t>
      </w:r>
    </w:p>
    <w:tbl>
      <w:tblPr>
        <w:tblStyle w:val="RACI"/>
        <w:tblW w:w="0" w:type="auto"/>
        <w:tblInd w:w="265" w:type="dxa"/>
        <w:tblLook w:val="04A0" w:firstRow="1" w:lastRow="0" w:firstColumn="1" w:lastColumn="0" w:noHBand="0" w:noVBand="1"/>
      </w:tblPr>
      <w:tblGrid>
        <w:gridCol w:w="3580"/>
        <w:gridCol w:w="872"/>
        <w:gridCol w:w="798"/>
        <w:gridCol w:w="827"/>
        <w:gridCol w:w="558"/>
        <w:gridCol w:w="467"/>
        <w:gridCol w:w="574"/>
        <w:gridCol w:w="686"/>
        <w:gridCol w:w="723"/>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rPr>
                <w:b w:val="0"/>
              </w:rPr>
            </w:pPr>
            <w:r>
              <w:t>Deliverable / Activity</w:t>
            </w:r>
          </w:p>
        </w:tc>
        <w:tc>
          <w:tcPr>
            <w:tcW w:w="872"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798"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w:t>
            </w:r>
          </w:p>
        </w:tc>
        <w:tc>
          <w:tcPr>
            <w:tcW w:w="827"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558"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Cryo</w:t>
            </w:r>
          </w:p>
        </w:tc>
        <w:tc>
          <w:tcPr>
            <w:tcW w:w="401"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574"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686"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Access, egress, barricading, and work-area controls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Crane, lift, transport, and detector-movement safety controls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HSSD/smoke detection reuse, design, and requalification</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Sprinkler reuse, modification, and requalification</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ODH classification and cryogenic safety controls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Electrical safety, E-Stops, LOTO, and interlock readiness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Hot-work permits, fire watch, and post-work inspection</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bl>
    <w:p w:rsidR="00211E08" w:rsidRDefault="00553970" w:rsidP="00211E08">
      <w:pPr>
        <w:spacing w:line="276" w:lineRule="auto"/>
        <w:jc w:val="center"/>
        <w:rPr>
          <w:rFonts w:cs="Times New Roman"/>
          <w:kern w:val="2"/>
          <w:sz w:val="24"/>
          <w:szCs w:val="24"/>
          <w14:ligatures w14:val="standardContextual"/>
        </w:rPr>
      </w:pPr>
      <w:r>
        <w:rPr>
          <w:rFonts w:cs="Times New Roman"/>
        </w:rPr>
        <w:pict w14:anchorId="3F64B94D">
          <v:rect id="_x0000_i1026" style="width:468pt;height:1.5pt" o:hralign="center" o:hrstd="t" o:hr="t" fillcolor="#a0a0a0" stroked="f"/>
        </w:pict>
      </w:r>
    </w:p>
    <w:p w:rsidR="00211E08" w:rsidRDefault="00211E08" w:rsidP="00211E08">
      <w:pPr>
        <w:pStyle w:val="Heading2"/>
      </w:pPr>
      <w:bookmarkStart w:id="33" w:name="_Toc233272935"/>
      <w:bookmarkStart w:id="34" w:name="_Toc234935696"/>
      <w:r>
        <w:t>Concerns and Mitigation</w:t>
      </w:r>
      <w:bookmarkEnd w:id="33"/>
      <w:bookmarkEnd w:id="34"/>
    </w:p>
    <w:p w:rsidR="00211E08" w:rsidRDefault="00211E08" w:rsidP="00211E08">
      <w:pPr>
        <w:spacing w:before="100" w:beforeAutospacing="1" w:after="100" w:afterAutospacing="1"/>
        <w:rPr>
          <w:rFonts w:eastAsia="Times New Roman" w:cs="Times New Roman"/>
        </w:rPr>
      </w:pPr>
      <w:r>
        <w:rPr>
          <w:rFonts w:eastAsia="Times New Roman" w:cs="Times New Roman"/>
        </w:rPr>
        <w:t>This section identifies key integration concerns that could affect ePIC detector installation, movement, commissioning, operation, or maintenance in Building 1006. These concerns shall be tracked through the applicable interface sections, work planning, reviews, and readiness hold points.</w:t>
      </w:r>
    </w:p>
    <w:tbl>
      <w:tblPr>
        <w:tblStyle w:val="ResponsibilityTable"/>
        <w:tblW w:w="0" w:type="auto"/>
        <w:tblLook w:val="04A0" w:firstRow="1" w:lastRow="0" w:firstColumn="1" w:lastColumn="0" w:noHBand="0" w:noVBand="1"/>
      </w:tblPr>
      <w:tblGrid>
        <w:gridCol w:w="773"/>
        <w:gridCol w:w="1518"/>
        <w:gridCol w:w="3331"/>
        <w:gridCol w:w="3728"/>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Priority</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Concern Area</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Mitigation / Hold Points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1</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Legacy Infrastructure Reuse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Building 1006 and legacy STAR/RHIC infrastructure may include aging rails, cranes, electrical distribution, grounding, water-cooled magnet buses, MCW systems, HSSD/smoke detection, sprinklers, alarms, HVAC, platforms, anchors, trenches, covers, and utility interfaces.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Inspect, test, refurbish, upgrade, or replace reused systems as required. Formal acceptance for ePIC service is required before use.</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2</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Detector / Beam-Pipe / Vacuum Clearances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Late discovery of insufficient clearances between the beam pipe, endcaps, barrel detectors, magnets, platforms, or B0 installation tooling could cause rework, access conflicts, or damage.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Maintain configuration control of detector-defined envelopes and interface models. Verify required clearances before final closeout. Changes affecting the beam-pipe vacuum interface require review and acceptance by responsible groups.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3</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Rail and Move-Path Readiness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Rail geometry, move-path conditions, or the raised lip on the forward/hadron-side </w:t>
            </w:r>
            <w:r>
              <w:lastRenderedPageBreak/>
              <w:t>rail could interfere with Hillman roller travel, guide-cam function, platform motion, or detector cradle movement.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FIPD shall inspect and verify rail gauge, elevation, straightness, surface condition, </w:t>
            </w:r>
            <w:r>
              <w:lastRenderedPageBreak/>
              <w:t>move-path clearance, and the forward/hadron-side rail lip condition. Required corrections, survey checks, and functional dry run or equivalent movement-readiness test shall be completed before major detector movement.</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lastRenderedPageBreak/>
              <w:t>4</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Magnet Support, Alignment, and Vibration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Magnet support instability, vibration transfer, alignment drift, or interference from nearby equipment could affect magnet performance or detector integration.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Forward and rear magnets shall be supported on concrete blocks meeting Magnet Group requirements. Moving or vibration-producing equipment shall not be mounted on magnet blocks. Magnet supports, alignment, clearances, material compatibility, and vibration-sensitive interfaces shall be verified before energization.</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5</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Cryogenic Interface and Magnet Thermal Cycling</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Cryogenic routing, building penetrations, platform interfaces, standby cooling, or ODH controls could affect detector movement, platform access, magnet operation, or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Cryogenic routing, penetrations, platforms, relief/vent paths, controls, alarms, and ODH requirements shall be reviewed and accepted before cryogenic operation. Assembly Hall standby cooling shall be coordinated to reduce unnecessary MARCO magnet thermal cycling.</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6</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Electrical Power, Grounding, and Interlocks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Inadequate power distribution, grounding conflicts, clean/dirty ground issues, EMI, E-Stops, or interlock gaps could affect detector electronics, magnet systems, vacuum equipment, or safe operation.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Facility power, Panel A1 distribution, magnet power, DC buses, grounding, clean/dirty segregation, E-Stops, LOTO points, guarding, labeling, and interlocks shall be reviewed and verified before energization or operation.</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7</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MCW Capacity and Chiller Readiness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Existing MCW capacity or the existing 80-ton chiller may be insufficient or unreliable for ePIC detector cooling loads.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Detector cooling loads shall be defined and compared with available MCW capacity. MCW infrastructure and chiller condition shall be evaluated, refurbished, upgraded, replaced, or upsized as required before operation of affected detector systems.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8</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Fire Protection and Life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HSSD/smoke detection, sprinklers, alarms, hot work, impairments, access, or egress issues could affect installation or operation readiness.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Fire-protection systems shall be inspected, tested, refurbished, or modified as required. Hot work and impairments require approved controls. A continuous 36 in. rear corridor and required emergency access shall be maintained unless an approved temporary control plan is in place.</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9</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Schedule and Work-Area Conflicts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Overlapping installation, detector movement, magnet, vacuum, cryogenic, power, MCW, HVAC, and safety work could create access conflicts, rework, or delays.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Maintain an integrated installation and interface schedule with defined hold points. Coordinate lifts, movement, access, platform work, utility work, and safety reviews through responsible group approvals and daily/pre-job planning where required.</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10</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Configuration and Interface Change Control</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Uncontrolled changes to detector envelopes, platforms, services, rails, cryogenic routing, vacuum equipment, utilities, or safety systems could create downstream integration conflicts.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Interface-impacting changes shall be reviewed by the responsible groups before implementation. Updated models, drawings, interface tables, RACI assignments, and acceptance criteria shall be maintained as required.</w:t>
            </w:r>
          </w:p>
        </w:tc>
      </w:tr>
    </w:tbl>
    <w:p w:rsidR="00211E08" w:rsidRPr="007A0EA6" w:rsidRDefault="00211E08" w:rsidP="00211E08">
      <w:pPr>
        <w:pStyle w:val="Heading2"/>
      </w:pPr>
      <w:bookmarkStart w:id="35" w:name="_Toc137386899"/>
      <w:bookmarkStart w:id="36" w:name="_Toc233272936"/>
      <w:bookmarkStart w:id="37" w:name="_Toc234935697"/>
      <w:bookmarkEnd w:id="18"/>
      <w:r w:rsidRPr="007A0EA6">
        <w:lastRenderedPageBreak/>
        <w:t>Organization</w:t>
      </w:r>
      <w:bookmarkEnd w:id="35"/>
      <w:bookmarkEnd w:id="36"/>
      <w:bookmarkEnd w:id="37"/>
      <w:r w:rsidRPr="007A0EA6">
        <w:t xml:space="preserve"> </w:t>
      </w:r>
    </w:p>
    <w:p w:rsidR="00211E08" w:rsidRPr="000D7CAC" w:rsidRDefault="00211E08" w:rsidP="00211E08">
      <w:pPr>
        <w:pStyle w:val="Body2"/>
        <w:rPr>
          <w:color w:val="auto"/>
        </w:rPr>
      </w:pPr>
      <w:r w:rsidRPr="000D7CAC">
        <w:rPr>
          <w:color w:val="auto"/>
        </w:rPr>
        <w:t xml:space="preserve">The interfaces in this document are grouped by sub-system as identified in the sub-system identifier. All interfaces between the </w:t>
      </w:r>
      <w:r w:rsidR="00553970">
        <w:rPr>
          <w:color w:val="auto"/>
        </w:rPr>
        <w:t>Detector Infrastructure Systems</w:t>
      </w:r>
      <w:r>
        <w:rPr>
          <w:color w:val="auto"/>
        </w:rPr>
        <w:t xml:space="preserve"> and a </w:t>
      </w:r>
      <w:r w:rsidRPr="000D7CAC">
        <w:rPr>
          <w:color w:val="auto"/>
        </w:rPr>
        <w:t>related sub-system will be included in a single section.</w:t>
      </w:r>
      <w:r>
        <w:rPr>
          <w:color w:val="auto"/>
        </w:rPr>
        <w:t xml:space="preserve"> </w:t>
      </w:r>
      <w:r w:rsidRPr="000D7CAC">
        <w:rPr>
          <w:color w:val="auto"/>
        </w:rPr>
        <w:t>Entries within that section will be sorted by the interface identifier or WBS number, as appropriate.</w:t>
      </w:r>
    </w:p>
    <w:p w:rsidR="007A0EA6" w:rsidRPr="007A0EA6" w:rsidRDefault="007A0EA6" w:rsidP="00245F70">
      <w:pPr>
        <w:pStyle w:val="Heading1"/>
      </w:pPr>
      <w:bookmarkStart w:id="38" w:name="_Toc234935698"/>
      <w:r w:rsidRPr="007A0EA6">
        <w:t>Interface summary</w:t>
      </w:r>
      <w:bookmarkEnd w:id="13"/>
      <w:bookmarkEnd w:id="14"/>
      <w:bookmarkEnd w:id="38"/>
    </w:p>
    <w:p w:rsidR="007A0EA6" w:rsidRPr="007A0EA6" w:rsidRDefault="007A0EA6" w:rsidP="005250F4">
      <w:pPr>
        <w:pStyle w:val="Body1"/>
      </w:pPr>
      <w:r w:rsidRPr="007A0EA6">
        <w:t xml:space="preserve">This </w:t>
      </w:r>
      <w:r w:rsidR="008C5B68">
        <w:t xml:space="preserve">tables in this section </w:t>
      </w:r>
      <w:r w:rsidR="000D7CAC">
        <w:t xml:space="preserve">provide a list of all interfaces that are defined within this document. </w:t>
      </w:r>
      <w:r w:rsidR="008C5B68">
        <w:t xml:space="preserve">The interfaces are grouped by sub-system/WBS. Each </w:t>
      </w:r>
      <w:r w:rsidRPr="007A0EA6">
        <w:t>table has the following fields:</w:t>
      </w:r>
    </w:p>
    <w:p w:rsidR="007A0EA6" w:rsidRPr="007A0EA6" w:rsidRDefault="007A0EA6" w:rsidP="007A0EA6">
      <w:pPr>
        <w:pStyle w:val="Body1Bulleted"/>
      </w:pPr>
      <w:r w:rsidRPr="007A0EA6">
        <w:t>Section: the section number in this document where the interface is addressed.</w:t>
      </w:r>
    </w:p>
    <w:p w:rsidR="007A0EA6" w:rsidRPr="007A0EA6" w:rsidRDefault="007A0EA6" w:rsidP="007A0EA6">
      <w:pPr>
        <w:pStyle w:val="Body1Bulleted"/>
      </w:pPr>
      <w:r w:rsidRPr="007A0EA6">
        <w:t xml:space="preserve">WBS (1): </w:t>
      </w:r>
      <w:r w:rsidR="00E85389">
        <w:t>the WBS number within the ICD reference system, unless the reference system is the owner.</w:t>
      </w:r>
    </w:p>
    <w:p w:rsidR="007A0EA6" w:rsidRPr="007A0EA6" w:rsidRDefault="007A0EA6" w:rsidP="007A0EA6">
      <w:pPr>
        <w:pStyle w:val="Body1Bulleted"/>
      </w:pPr>
      <w:r w:rsidRPr="007A0EA6">
        <w:t xml:space="preserve">WBS (2): the WBS number for the </w:t>
      </w:r>
      <w:r w:rsidR="00E85389">
        <w:t>connected system.</w:t>
      </w:r>
    </w:p>
    <w:p w:rsidR="007A0EA6" w:rsidRDefault="0031086F" w:rsidP="007A0EA6">
      <w:pPr>
        <w:pStyle w:val="Body1Bulleted"/>
      </w:pPr>
      <w:r>
        <w:t>ID: the interface identifier as defined in the Interface Requirement Document (IRD)</w:t>
      </w:r>
      <w:r w:rsidR="00E85389">
        <w:t>.</w:t>
      </w:r>
    </w:p>
    <w:p w:rsidR="0031086F" w:rsidRDefault="0031086F" w:rsidP="007A0EA6">
      <w:pPr>
        <w:pStyle w:val="Body1Bulleted"/>
      </w:pPr>
      <w:r>
        <w:t>Name: the name of the interface as defined in the IRD</w:t>
      </w:r>
      <w:r w:rsidR="00E85389">
        <w:t>.</w:t>
      </w:r>
    </w:p>
    <w:p w:rsidR="0031086F" w:rsidRDefault="0031086F" w:rsidP="007A0EA6">
      <w:pPr>
        <w:pStyle w:val="Body1Bulleted"/>
      </w:pPr>
      <w:r>
        <w:t>Description: the description of the interface as defined in the IRD</w:t>
      </w:r>
      <w:r w:rsidR="00E85389">
        <w:t>.</w:t>
      </w:r>
    </w:p>
    <w:p w:rsidR="00553970" w:rsidRDefault="0031086F" w:rsidP="0031086F">
      <w:pPr>
        <w:pStyle w:val="Body1Bulleted"/>
      </w:pPr>
      <w:r>
        <w:t>Owner:</w:t>
      </w:r>
      <w:r w:rsidR="007A0EA6" w:rsidRPr="007A0EA6">
        <w:t xml:space="preserve"> identifies the WBS</w:t>
      </w:r>
      <w:r>
        <w:t xml:space="preserve"> number of the </w:t>
      </w:r>
      <w:r w:rsidR="007A0EA6" w:rsidRPr="007A0EA6">
        <w:t xml:space="preserve">entity that is responsible for </w:t>
      </w:r>
      <w:r w:rsidR="00DC056A">
        <w:t xml:space="preserve">ensuring the </w:t>
      </w:r>
      <w:r w:rsidR="007A0EA6" w:rsidRPr="007A0EA6">
        <w:t>interface is provided and that it meets validation/verification requirements.</w:t>
      </w:r>
    </w:p>
    <w:p w:rsidR="00553970" w:rsidRDefault="00553970" w:rsidP="00553970">
      <w:pPr>
        <w:pStyle w:val="TableNumber"/>
      </w:pPr>
      <w:r>
        <w:t>Detector Infrastructure Systems to BNL Portfolio FIPD</w:t>
      </w:r>
    </w:p>
    <w:tbl>
      <w:tblPr>
        <w:tblStyle w:val="InterfaceSummaryTable"/>
        <w:tblW w:w="0" w:type="auto"/>
        <w:tblLayout w:type="fixed"/>
        <w:tblLook w:val="04A0" w:firstRow="1" w:lastRow="0" w:firstColumn="1" w:lastColumn="0" w:noHBand="0" w:noVBand="1"/>
      </w:tblPr>
      <w:tblGrid>
        <w:gridCol w:w="1337"/>
        <w:gridCol w:w="1337"/>
        <w:gridCol w:w="1337"/>
        <w:gridCol w:w="1337"/>
        <w:gridCol w:w="1337"/>
        <w:gridCol w:w="1337"/>
        <w:gridCol w:w="1338"/>
      </w:tblGrid>
      <w:tr w:rsidR="00553970" w:rsidTr="005539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553970" w:rsidRDefault="00553970" w:rsidP="00553970">
            <w:pPr>
              <w:pStyle w:val="TableEntry"/>
            </w:pPr>
            <w:r>
              <w:t>Section</w:t>
            </w:r>
          </w:p>
        </w:tc>
        <w:tc>
          <w:tcPr>
            <w:tcW w:w="1337" w:type="dxa"/>
          </w:tcPr>
          <w:p w:rsidR="00553970" w:rsidRDefault="00553970" w:rsidP="00553970">
            <w:pPr>
              <w:pStyle w:val="TableEntry"/>
              <w:cnfStyle w:val="100000000000" w:firstRow="1" w:lastRow="0" w:firstColumn="0" w:lastColumn="0" w:oddVBand="0" w:evenVBand="0" w:oddHBand="0" w:evenHBand="0" w:firstRowFirstColumn="0" w:firstRowLastColumn="0" w:lastRowFirstColumn="0" w:lastRowLastColumn="0"/>
            </w:pPr>
            <w:r>
              <w:t>WBS1</w:t>
            </w:r>
          </w:p>
        </w:tc>
        <w:tc>
          <w:tcPr>
            <w:tcW w:w="1337" w:type="dxa"/>
          </w:tcPr>
          <w:p w:rsidR="00553970" w:rsidRDefault="00553970" w:rsidP="00553970">
            <w:pPr>
              <w:pStyle w:val="TableEntry"/>
              <w:cnfStyle w:val="100000000000" w:firstRow="1" w:lastRow="0" w:firstColumn="0" w:lastColumn="0" w:oddVBand="0" w:evenVBand="0" w:oddHBand="0" w:evenHBand="0" w:firstRowFirstColumn="0" w:firstRowLastColumn="0" w:lastRowFirstColumn="0" w:lastRowLastColumn="0"/>
            </w:pPr>
            <w:r>
              <w:t>WBS2</w:t>
            </w:r>
          </w:p>
        </w:tc>
        <w:tc>
          <w:tcPr>
            <w:tcW w:w="1337" w:type="dxa"/>
          </w:tcPr>
          <w:p w:rsidR="00553970" w:rsidRDefault="00553970" w:rsidP="00553970">
            <w:pPr>
              <w:pStyle w:val="TableEntry"/>
              <w:cnfStyle w:val="100000000000" w:firstRow="1" w:lastRow="0" w:firstColumn="0" w:lastColumn="0" w:oddVBand="0" w:evenVBand="0" w:oddHBand="0" w:evenHBand="0" w:firstRowFirstColumn="0" w:firstRowLastColumn="0" w:lastRowFirstColumn="0" w:lastRowLastColumn="0"/>
            </w:pPr>
            <w:r>
              <w:t>ID</w:t>
            </w:r>
          </w:p>
        </w:tc>
        <w:tc>
          <w:tcPr>
            <w:tcW w:w="1337" w:type="dxa"/>
          </w:tcPr>
          <w:p w:rsidR="00553970" w:rsidRDefault="00553970" w:rsidP="00553970">
            <w:pPr>
              <w:pStyle w:val="TableEntry"/>
              <w:cnfStyle w:val="100000000000" w:firstRow="1" w:lastRow="0" w:firstColumn="0" w:lastColumn="0" w:oddVBand="0" w:evenVBand="0" w:oddHBand="0" w:evenHBand="0" w:firstRowFirstColumn="0" w:firstRowLastColumn="0" w:lastRowFirstColumn="0" w:lastRowLastColumn="0"/>
            </w:pPr>
            <w:r>
              <w:t>Name</w:t>
            </w:r>
          </w:p>
        </w:tc>
        <w:tc>
          <w:tcPr>
            <w:tcW w:w="1337" w:type="dxa"/>
          </w:tcPr>
          <w:p w:rsidR="00553970" w:rsidRDefault="00553970" w:rsidP="00553970">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1338" w:type="dxa"/>
          </w:tcPr>
          <w:p w:rsidR="00553970" w:rsidRDefault="00553970" w:rsidP="00553970">
            <w:pPr>
              <w:pStyle w:val="TableEntry"/>
              <w:cnfStyle w:val="100000000000" w:firstRow="1" w:lastRow="0" w:firstColumn="0" w:lastColumn="0" w:oddVBand="0" w:evenVBand="0" w:oddHBand="0" w:evenHBand="0" w:firstRowFirstColumn="0" w:firstRowLastColumn="0" w:lastRowFirstColumn="0" w:lastRowLastColumn="0"/>
            </w:pPr>
            <w:r>
              <w:t>Owner</w:t>
            </w:r>
          </w:p>
        </w:tc>
      </w:tr>
      <w:tr w:rsidR="00553970" w:rsidTr="005539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553970" w:rsidRDefault="00553970" w:rsidP="00553970">
            <w:pPr>
              <w:pStyle w:val="TableEntry"/>
            </w:pPr>
            <w:r>
              <w:t>4</w:t>
            </w: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BNL Portfolio FIPD</w:t>
            </w:r>
          </w:p>
        </w:tc>
        <w:tc>
          <w:tcPr>
            <w:tcW w:w="1338"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p>
        </w:tc>
      </w:tr>
      <w:tr w:rsidR="00553970" w:rsidTr="005539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553970" w:rsidRDefault="00553970" w:rsidP="00553970">
            <w:pPr>
              <w:pStyle w:val="TableEntry"/>
            </w:pPr>
            <w:r>
              <w:t>4.1</w:t>
            </w: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I-DET-INF-INT.041</w:t>
            </w: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Deionized Water (Aluminum)</w:t>
            </w: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A supply and return of specialized, non-corrosive cooling water will be needed to cool detectors using aluminum heatsinks and manifolds.</w:t>
            </w:r>
          </w:p>
        </w:tc>
        <w:tc>
          <w:tcPr>
            <w:tcW w:w="1338"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6.03.09.03</w:t>
            </w:r>
          </w:p>
        </w:tc>
      </w:tr>
      <w:tr w:rsidR="00553970" w:rsidTr="005539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553970" w:rsidRDefault="00553970" w:rsidP="00553970">
            <w:pPr>
              <w:pStyle w:val="TableEntry"/>
            </w:pPr>
            <w:r>
              <w:t>4.2</w:t>
            </w: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I-DET-INF-INT.042</w:t>
            </w: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Deionized Water (MCW)</w:t>
            </w: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A supply and return of deionized cooling water will need to be provided to remove heat from water cooled detectors.</w:t>
            </w:r>
          </w:p>
        </w:tc>
        <w:tc>
          <w:tcPr>
            <w:tcW w:w="1338"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6.03.09.03</w:t>
            </w:r>
          </w:p>
        </w:tc>
      </w:tr>
      <w:tr w:rsidR="00553970" w:rsidTr="005539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553970" w:rsidRDefault="00553970" w:rsidP="00553970">
            <w:pPr>
              <w:pStyle w:val="TableEntry"/>
            </w:pPr>
            <w:r>
              <w:t>4.3</w:t>
            </w: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I-DET-INF-INT.043</w:t>
            </w: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HVAC</w:t>
            </w: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 xml:space="preserve">Temperature and humidity </w:t>
            </w:r>
            <w:r>
              <w:lastRenderedPageBreak/>
              <w:t>control must be provided in the Assembly Hall and IR as detectors need i) cooling by ambient air, ii) temperature stability, and iii) low dew point.</w:t>
            </w:r>
          </w:p>
        </w:tc>
        <w:tc>
          <w:tcPr>
            <w:tcW w:w="1338"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lastRenderedPageBreak/>
              <w:t>6.03.09.03</w:t>
            </w:r>
          </w:p>
        </w:tc>
      </w:tr>
      <w:tr w:rsidR="00553970" w:rsidTr="005539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553970" w:rsidRDefault="00553970" w:rsidP="00553970">
            <w:pPr>
              <w:pStyle w:val="TableEntry"/>
            </w:pPr>
            <w:r>
              <w:t>4.4</w:t>
            </w: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I-DET-INF-INT.044</w:t>
            </w: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Clean Power</w:t>
            </w: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A clean power source must be provided to support the operation of magnet, detectors, detector electronics, and other sensitive equipment.</w:t>
            </w:r>
          </w:p>
        </w:tc>
        <w:tc>
          <w:tcPr>
            <w:tcW w:w="1338"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6.03.09.03</w:t>
            </w:r>
          </w:p>
        </w:tc>
      </w:tr>
      <w:tr w:rsidR="00553970" w:rsidTr="005539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553970" w:rsidRDefault="00553970" w:rsidP="00553970">
            <w:pPr>
              <w:pStyle w:val="TableEntry"/>
            </w:pPr>
            <w:r>
              <w:t>4.5</w:t>
            </w: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I-DET-INF-INT.045</w:t>
            </w: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Utility Power</w:t>
            </w: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A utility power source must be provided to support the cooling systems on the north platform and for other facility needs.</w:t>
            </w:r>
          </w:p>
        </w:tc>
        <w:tc>
          <w:tcPr>
            <w:tcW w:w="1338"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6.03.09.03</w:t>
            </w:r>
          </w:p>
        </w:tc>
      </w:tr>
      <w:tr w:rsidR="00553970" w:rsidTr="005539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553970" w:rsidRDefault="00553970" w:rsidP="00553970">
            <w:pPr>
              <w:pStyle w:val="TableEntry"/>
            </w:pPr>
            <w:r>
              <w:t>4.6</w:t>
            </w: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I-DET-INF-INT.046</w:t>
            </w: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Compressed Air</w:t>
            </w: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A compressed air source must be provided for the ancillary detectors and to maintain vacuum on other detector sub-systems.</w:t>
            </w:r>
          </w:p>
        </w:tc>
        <w:tc>
          <w:tcPr>
            <w:tcW w:w="1338"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6.03.09.03</w:t>
            </w:r>
          </w:p>
        </w:tc>
      </w:tr>
      <w:tr w:rsidR="00553970" w:rsidTr="005539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553970" w:rsidRDefault="00553970" w:rsidP="00553970">
            <w:pPr>
              <w:pStyle w:val="TableEntry"/>
            </w:pPr>
            <w:r>
              <w:t>4.7</w:t>
            </w: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I-DET-INF-INT.047</w:t>
            </w: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Dry Nitrogen</w:t>
            </w:r>
          </w:p>
        </w:tc>
        <w:tc>
          <w:tcPr>
            <w:tcW w:w="1337"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A supply of dry nitrogen will be needed to purge gas detectors or to cool humidity sensitive detectors (as needed).</w:t>
            </w:r>
          </w:p>
        </w:tc>
        <w:tc>
          <w:tcPr>
            <w:tcW w:w="1338" w:type="dxa"/>
          </w:tcPr>
          <w:p w:rsidR="00553970" w:rsidRDefault="00553970" w:rsidP="00553970">
            <w:pPr>
              <w:pStyle w:val="TableEntry"/>
              <w:cnfStyle w:val="000000010000" w:firstRow="0" w:lastRow="0" w:firstColumn="0" w:lastColumn="0" w:oddVBand="0" w:evenVBand="0" w:oddHBand="0" w:evenHBand="1" w:firstRowFirstColumn="0" w:firstRowLastColumn="0" w:lastRowFirstColumn="0" w:lastRowLastColumn="0"/>
            </w:pPr>
            <w:r>
              <w:t>6.03.09.03</w:t>
            </w:r>
          </w:p>
        </w:tc>
      </w:tr>
      <w:tr w:rsidR="00553970" w:rsidTr="005539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553970" w:rsidRDefault="00553970" w:rsidP="00553970">
            <w:pPr>
              <w:pStyle w:val="TableEntry"/>
            </w:pPr>
            <w:r>
              <w:lastRenderedPageBreak/>
              <w:t>4.8</w:t>
            </w: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I-DET-INF-INT.048</w:t>
            </w: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Hall Accessibility (Door Size)</w:t>
            </w:r>
          </w:p>
        </w:tc>
        <w:tc>
          <w:tcPr>
            <w:tcW w:w="1337"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The opening size of the door that adjoins the experimental hall and the assembly area must remain large enough to accommodate movement of the ePIC barrel assembly.</w:t>
            </w:r>
          </w:p>
        </w:tc>
        <w:tc>
          <w:tcPr>
            <w:tcW w:w="1338" w:type="dxa"/>
          </w:tcPr>
          <w:p w:rsidR="00553970" w:rsidRDefault="00553970" w:rsidP="00553970">
            <w:pPr>
              <w:pStyle w:val="TableEntry"/>
              <w:cnfStyle w:val="000000100000" w:firstRow="0" w:lastRow="0" w:firstColumn="0" w:lastColumn="0" w:oddVBand="0" w:evenVBand="0" w:oddHBand="1" w:evenHBand="0" w:firstRowFirstColumn="0" w:firstRowLastColumn="0" w:lastRowFirstColumn="0" w:lastRowLastColumn="0"/>
            </w:pPr>
            <w:r>
              <w:t>6.03.09.03</w:t>
            </w:r>
          </w:p>
        </w:tc>
      </w:tr>
    </w:tbl>
    <w:p w:rsidR="007A0EA6" w:rsidRDefault="007A0EA6" w:rsidP="00553970">
      <w:pPr>
        <w:pStyle w:val="TableEntry"/>
      </w:pPr>
    </w:p>
    <w:p w:rsidR="00553970" w:rsidRDefault="00553970" w:rsidP="00833E3A">
      <w:bookmarkStart w:id="39" w:name="InterfaceSummary"/>
      <w:bookmarkEnd w:id="39"/>
    </w:p>
    <w:p w:rsidR="00553970" w:rsidRDefault="00553970" w:rsidP="00553970">
      <w:pPr>
        <w:pStyle w:val="Heading1"/>
      </w:pPr>
      <w:bookmarkStart w:id="40" w:name="_Toc234935699"/>
      <w:r>
        <w:t>Detector Infrastructure Systems (DET-INF) to BNL Portfolio FIPD (BNL-FIPD)</w:t>
      </w:r>
      <w:bookmarkEnd w:id="40"/>
    </w:p>
    <w:p w:rsidR="00553970" w:rsidRDefault="00553970" w:rsidP="00553970">
      <w:pPr>
        <w:pStyle w:val="InterfaceHeading2"/>
      </w:pPr>
      <w:r>
        <w:t>I-DET-INF-INT.041</w:t>
      </w:r>
      <w:r>
        <w:tab/>
        <w:t>Deionized Water (Aluminum)</w:t>
      </w:r>
    </w:p>
    <w:p w:rsidR="00553970" w:rsidRDefault="00553970" w:rsidP="00553970">
      <w:pPr>
        <w:pStyle w:val="InterfaceDetail"/>
      </w:pPr>
      <w:r>
        <w:t>System 1:</w:t>
      </w:r>
      <w:r>
        <w:tab/>
        <w:t>Detector Infrastructure and Utilities Integration (6.03.09.03)</w:t>
      </w:r>
    </w:p>
    <w:p w:rsidR="00553970" w:rsidRDefault="00553970" w:rsidP="00553970">
      <w:pPr>
        <w:pStyle w:val="InterfaceDetail"/>
      </w:pPr>
      <w:r>
        <w:t>System 2:</w:t>
      </w:r>
      <w:r>
        <w:tab/>
        <w:t>BNL Portfolio FIPD (BNL-FIPD)</w:t>
      </w:r>
    </w:p>
    <w:p w:rsidR="00553970" w:rsidRDefault="00553970" w:rsidP="00553970">
      <w:pPr>
        <w:pStyle w:val="InterfaceDetail"/>
      </w:pPr>
      <w:r>
        <w:t>Type:</w:t>
      </w:r>
      <w:r>
        <w:tab/>
        <w:t>COOL</w:t>
      </w:r>
    </w:p>
    <w:p w:rsidR="00553970" w:rsidRDefault="00553970" w:rsidP="00553970">
      <w:pPr>
        <w:pStyle w:val="InterfaceDetail"/>
      </w:pPr>
      <w:r>
        <w:t>Description:</w:t>
      </w:r>
      <w:r>
        <w:tab/>
        <w:t>A supply and return of specialized, non-corrosive cooling water will be needed to cool detectors using aluminum heatsinks and manifolds.</w:t>
      </w:r>
    </w:p>
    <w:p w:rsidR="00553970" w:rsidRDefault="00553970" w:rsidP="00553970">
      <w:pPr>
        <w:pStyle w:val="InterfaceDetail"/>
      </w:pPr>
      <w:r>
        <w:t>Provider:</w:t>
      </w:r>
      <w:r>
        <w:tab/>
        <w:t>Detector Infrastructure and Utilities Integration (6.03.09.03)</w:t>
      </w:r>
    </w:p>
    <w:p w:rsidR="00553970" w:rsidRPr="00553970" w:rsidRDefault="00553970" w:rsidP="00553970">
      <w:pPr>
        <w:pStyle w:val="InterfaceDetail"/>
      </w:pPr>
      <w:r>
        <w:t>Details:</w:t>
      </w:r>
      <w:r>
        <w:tab/>
      </w:r>
      <w:r w:rsidRPr="00553970">
        <w:rPr>
          <w:i/>
        </w:rPr>
        <w:t>See details in the Detector Infrastructure Interface Control Document.</w:t>
      </w:r>
    </w:p>
    <w:p w:rsidR="00553970" w:rsidRPr="00553970" w:rsidRDefault="00553970" w:rsidP="00553970">
      <w:pPr>
        <w:pStyle w:val="InterfaceDetail"/>
      </w:pPr>
      <w:r w:rsidRPr="00553970">
        <w:t>Requirements:</w:t>
      </w:r>
      <w:r w:rsidRPr="00553970">
        <w:tab/>
        <w:t>F-DET-INF.3, F-DET-INF.4, F-DET-INF.5</w:t>
      </w:r>
    </w:p>
    <w:p w:rsidR="00553970" w:rsidRPr="00553970" w:rsidRDefault="00553970" w:rsidP="00553970">
      <w:pPr>
        <w:pStyle w:val="InterfaceDetail"/>
      </w:pPr>
      <w:r w:rsidRPr="00553970">
        <w:t>References:</w:t>
      </w:r>
      <w:r w:rsidRPr="00553970">
        <w:tab/>
      </w:r>
    </w:p>
    <w:p w:rsidR="00553970" w:rsidRDefault="00553970" w:rsidP="00553970">
      <w:pPr>
        <w:pStyle w:val="InterfaceHeading2"/>
      </w:pPr>
      <w:r>
        <w:t>I-DET-INF-INT.042</w:t>
      </w:r>
      <w:r>
        <w:tab/>
        <w:t>Deionized Water (MCW)</w:t>
      </w:r>
    </w:p>
    <w:p w:rsidR="00553970" w:rsidRDefault="00553970" w:rsidP="00553970">
      <w:pPr>
        <w:pStyle w:val="InterfaceDetail"/>
      </w:pPr>
      <w:r>
        <w:t>System 1:</w:t>
      </w:r>
      <w:r>
        <w:tab/>
        <w:t>Detector Infrastructure and Utilities Integration (6.03.09.03)</w:t>
      </w:r>
    </w:p>
    <w:p w:rsidR="00553970" w:rsidRDefault="00553970" w:rsidP="00553970">
      <w:pPr>
        <w:pStyle w:val="InterfaceDetail"/>
      </w:pPr>
      <w:r>
        <w:t>System 2:</w:t>
      </w:r>
      <w:r>
        <w:tab/>
        <w:t>BNL Portfolio FIPD (BNL-FIPD)</w:t>
      </w:r>
    </w:p>
    <w:p w:rsidR="00553970" w:rsidRDefault="00553970" w:rsidP="00553970">
      <w:pPr>
        <w:pStyle w:val="InterfaceDetail"/>
      </w:pPr>
      <w:r>
        <w:t>Type:</w:t>
      </w:r>
      <w:r>
        <w:tab/>
        <w:t>COOL</w:t>
      </w:r>
    </w:p>
    <w:p w:rsidR="00553970" w:rsidRDefault="00553970" w:rsidP="00553970">
      <w:pPr>
        <w:pStyle w:val="InterfaceDetail"/>
      </w:pPr>
      <w:r>
        <w:t>Description:</w:t>
      </w:r>
      <w:r>
        <w:tab/>
        <w:t>A supply and return of deionized cooling water will need to be provided to remove heat from water cooled detectors.</w:t>
      </w:r>
    </w:p>
    <w:p w:rsidR="00553970" w:rsidRDefault="00553970" w:rsidP="00553970">
      <w:pPr>
        <w:pStyle w:val="InterfaceDetail"/>
      </w:pPr>
      <w:r>
        <w:t>Provider:</w:t>
      </w:r>
      <w:r>
        <w:tab/>
        <w:t>Detector Infrastructure and Utilities Integration (6.03.09.03)</w:t>
      </w:r>
    </w:p>
    <w:p w:rsidR="00553970" w:rsidRPr="00553970" w:rsidRDefault="00553970" w:rsidP="00553970">
      <w:pPr>
        <w:pStyle w:val="InterfaceDetail"/>
      </w:pPr>
      <w:r>
        <w:t>Details:</w:t>
      </w:r>
      <w:r>
        <w:tab/>
      </w:r>
      <w:r w:rsidRPr="00553970">
        <w:rPr>
          <w:i/>
        </w:rPr>
        <w:t>See details in the Detector Infrastructure Interface Control Document.</w:t>
      </w:r>
    </w:p>
    <w:p w:rsidR="00553970" w:rsidRPr="00553970" w:rsidRDefault="00553970" w:rsidP="00553970">
      <w:pPr>
        <w:pStyle w:val="InterfaceDetail"/>
      </w:pPr>
      <w:r w:rsidRPr="00553970">
        <w:t>Requirements:</w:t>
      </w:r>
      <w:r w:rsidRPr="00553970">
        <w:tab/>
        <w:t>F-DET-INF.3, F-DET-INF.4, F-DET-INF.5</w:t>
      </w:r>
    </w:p>
    <w:p w:rsidR="00553970" w:rsidRPr="00553970" w:rsidRDefault="00553970" w:rsidP="00553970">
      <w:pPr>
        <w:pStyle w:val="InterfaceDetail"/>
      </w:pPr>
      <w:r w:rsidRPr="00553970">
        <w:t>References:</w:t>
      </w:r>
      <w:r w:rsidRPr="00553970">
        <w:tab/>
      </w:r>
    </w:p>
    <w:p w:rsidR="00553970" w:rsidRDefault="00553970" w:rsidP="00553970">
      <w:pPr>
        <w:pStyle w:val="InterfaceHeading2"/>
      </w:pPr>
      <w:r>
        <w:t>I-DET-INF-INT.043</w:t>
      </w:r>
      <w:r>
        <w:tab/>
        <w:t>HVAC</w:t>
      </w:r>
    </w:p>
    <w:p w:rsidR="00553970" w:rsidRDefault="00553970" w:rsidP="00553970">
      <w:pPr>
        <w:pStyle w:val="InterfaceDetail"/>
      </w:pPr>
      <w:r>
        <w:t>System 1:</w:t>
      </w:r>
      <w:r>
        <w:tab/>
        <w:t>Detector Infrastructure and Utilities Integration (6.03.09.03)</w:t>
      </w:r>
    </w:p>
    <w:p w:rsidR="00553970" w:rsidRDefault="00553970" w:rsidP="00553970">
      <w:pPr>
        <w:pStyle w:val="InterfaceDetail"/>
      </w:pPr>
      <w:r>
        <w:t>System 2:</w:t>
      </w:r>
      <w:r>
        <w:tab/>
        <w:t>BNL Portfolio FIPD (BNL-FIPD)</w:t>
      </w:r>
    </w:p>
    <w:p w:rsidR="00553970" w:rsidRDefault="00553970" w:rsidP="00553970">
      <w:pPr>
        <w:pStyle w:val="InterfaceDetail"/>
      </w:pPr>
      <w:r>
        <w:t>Type:</w:t>
      </w:r>
      <w:r>
        <w:tab/>
        <w:t>COOL</w:t>
      </w:r>
    </w:p>
    <w:p w:rsidR="00553970" w:rsidRDefault="00553970" w:rsidP="00553970">
      <w:pPr>
        <w:pStyle w:val="InterfaceDetail"/>
      </w:pPr>
      <w:r>
        <w:lastRenderedPageBreak/>
        <w:t>Description:</w:t>
      </w:r>
      <w:r>
        <w:tab/>
        <w:t>Temperature and humidity control must be provided in the Assembly Hall and IR as detectors need i) cooling by ambient air, ii) temperature stability, and iii) low dew point.</w:t>
      </w:r>
    </w:p>
    <w:p w:rsidR="00553970" w:rsidRDefault="00553970" w:rsidP="00553970">
      <w:pPr>
        <w:pStyle w:val="InterfaceDetail"/>
      </w:pPr>
      <w:r>
        <w:t>Provider:</w:t>
      </w:r>
      <w:r>
        <w:tab/>
        <w:t>Detector Infrastructure and Utilities Integration (6.03.09.03)</w:t>
      </w:r>
    </w:p>
    <w:p w:rsidR="00553970" w:rsidRPr="00553970" w:rsidRDefault="00553970" w:rsidP="00553970">
      <w:pPr>
        <w:pStyle w:val="InterfaceDetail"/>
      </w:pPr>
      <w:r>
        <w:t>Details:</w:t>
      </w:r>
      <w:r>
        <w:tab/>
      </w:r>
      <w:r w:rsidRPr="00553970">
        <w:rPr>
          <w:i/>
        </w:rPr>
        <w:t>See details in the Detector Infrastructure Interface Control Document.</w:t>
      </w:r>
    </w:p>
    <w:p w:rsidR="00553970" w:rsidRPr="00553970" w:rsidRDefault="00553970" w:rsidP="00553970">
      <w:pPr>
        <w:pStyle w:val="InterfaceDetail"/>
      </w:pPr>
      <w:r w:rsidRPr="00553970">
        <w:t>Requirements:</w:t>
      </w:r>
      <w:r w:rsidRPr="00553970">
        <w:tab/>
        <w:t>F-DET-INF.3, F-DET-INF.4, F-DET-INF.5</w:t>
      </w:r>
    </w:p>
    <w:p w:rsidR="00553970" w:rsidRPr="00553970" w:rsidRDefault="00553970" w:rsidP="00553970">
      <w:pPr>
        <w:pStyle w:val="InterfaceDetail"/>
      </w:pPr>
      <w:r w:rsidRPr="00553970">
        <w:t>References:</w:t>
      </w:r>
      <w:r w:rsidRPr="00553970">
        <w:tab/>
      </w:r>
    </w:p>
    <w:p w:rsidR="00553970" w:rsidRDefault="00553970" w:rsidP="00553970">
      <w:pPr>
        <w:pStyle w:val="InterfaceHeading2"/>
      </w:pPr>
      <w:r>
        <w:t>I-DET-INF-INT.044</w:t>
      </w:r>
      <w:r>
        <w:tab/>
        <w:t>Clean Power</w:t>
      </w:r>
    </w:p>
    <w:p w:rsidR="00553970" w:rsidRDefault="00553970" w:rsidP="00553970">
      <w:pPr>
        <w:pStyle w:val="InterfaceDetail"/>
      </w:pPr>
      <w:r>
        <w:t>System 1:</w:t>
      </w:r>
      <w:r>
        <w:tab/>
        <w:t>Detector Infrastructure and Utilities Integration (6.03.09.03)</w:t>
      </w:r>
    </w:p>
    <w:p w:rsidR="00553970" w:rsidRDefault="00553970" w:rsidP="00553970">
      <w:pPr>
        <w:pStyle w:val="InterfaceDetail"/>
      </w:pPr>
      <w:r>
        <w:t>System 2:</w:t>
      </w:r>
      <w:r>
        <w:tab/>
        <w:t>BNL Portfolio FIPD (BNL-FIPD)</w:t>
      </w:r>
    </w:p>
    <w:p w:rsidR="00553970" w:rsidRDefault="00553970" w:rsidP="00553970">
      <w:pPr>
        <w:pStyle w:val="InterfaceDetail"/>
      </w:pPr>
      <w:r>
        <w:t>Type:</w:t>
      </w:r>
      <w:r>
        <w:tab/>
        <w:t>ELEC</w:t>
      </w:r>
    </w:p>
    <w:p w:rsidR="00553970" w:rsidRDefault="00553970" w:rsidP="00553970">
      <w:pPr>
        <w:pStyle w:val="InterfaceDetail"/>
      </w:pPr>
      <w:r>
        <w:t>Description:</w:t>
      </w:r>
      <w:r>
        <w:tab/>
        <w:t>A clean power source must be provided to support the operation of magnet, detectors, detector electronics, and other sensitive equipment.</w:t>
      </w:r>
    </w:p>
    <w:p w:rsidR="00553970" w:rsidRDefault="00553970" w:rsidP="00553970">
      <w:pPr>
        <w:pStyle w:val="InterfaceDetail"/>
      </w:pPr>
      <w:r>
        <w:t>Provider:</w:t>
      </w:r>
      <w:r>
        <w:tab/>
        <w:t>Detector Infrastructure and Utilities Integration (6.03.09.03)</w:t>
      </w:r>
    </w:p>
    <w:p w:rsidR="00553970" w:rsidRPr="00553970" w:rsidRDefault="00553970" w:rsidP="00553970">
      <w:pPr>
        <w:pStyle w:val="InterfaceDetail"/>
      </w:pPr>
      <w:r>
        <w:t>Details:</w:t>
      </w:r>
      <w:r>
        <w:tab/>
      </w:r>
      <w:r w:rsidRPr="00553970">
        <w:rPr>
          <w:i/>
        </w:rPr>
        <w:t>See details in the Detector Infrastructure Interface Control Document.</w:t>
      </w:r>
    </w:p>
    <w:p w:rsidR="00553970" w:rsidRPr="00553970" w:rsidRDefault="00553970" w:rsidP="00553970">
      <w:pPr>
        <w:pStyle w:val="InterfaceDetail"/>
      </w:pPr>
      <w:r w:rsidRPr="00553970">
        <w:t>Requirements:</w:t>
      </w:r>
      <w:r w:rsidRPr="00553970">
        <w:tab/>
        <w:t>F-DET-INF-ELEC.1</w:t>
      </w:r>
    </w:p>
    <w:p w:rsidR="00553970" w:rsidRPr="00553970" w:rsidRDefault="00553970" w:rsidP="00553970">
      <w:pPr>
        <w:pStyle w:val="InterfaceDetail"/>
      </w:pPr>
      <w:r w:rsidRPr="00553970">
        <w:t>References:</w:t>
      </w:r>
      <w:r w:rsidRPr="00553970">
        <w:tab/>
      </w:r>
    </w:p>
    <w:p w:rsidR="00553970" w:rsidRDefault="00553970" w:rsidP="00553970">
      <w:pPr>
        <w:pStyle w:val="InterfaceHeading2"/>
      </w:pPr>
      <w:r>
        <w:t>I-DET-INF-INT.045</w:t>
      </w:r>
      <w:r>
        <w:tab/>
        <w:t>Utility Power</w:t>
      </w:r>
    </w:p>
    <w:p w:rsidR="00553970" w:rsidRDefault="00553970" w:rsidP="00553970">
      <w:pPr>
        <w:pStyle w:val="InterfaceDetail"/>
      </w:pPr>
      <w:r>
        <w:t>System 1:</w:t>
      </w:r>
      <w:r>
        <w:tab/>
        <w:t>Detector Infrastructure and Utilities Integration (6.03.09.03)</w:t>
      </w:r>
    </w:p>
    <w:p w:rsidR="00553970" w:rsidRDefault="00553970" w:rsidP="00553970">
      <w:pPr>
        <w:pStyle w:val="InterfaceDetail"/>
      </w:pPr>
      <w:r>
        <w:t>System 2:</w:t>
      </w:r>
      <w:r>
        <w:tab/>
        <w:t>BNL Portfolio FIPD (BNL-FIPD)</w:t>
      </w:r>
    </w:p>
    <w:p w:rsidR="00553970" w:rsidRDefault="00553970" w:rsidP="00553970">
      <w:pPr>
        <w:pStyle w:val="InterfaceDetail"/>
      </w:pPr>
      <w:r>
        <w:t>Type:</w:t>
      </w:r>
      <w:r>
        <w:tab/>
        <w:t>ELEC</w:t>
      </w:r>
    </w:p>
    <w:p w:rsidR="00553970" w:rsidRDefault="00553970" w:rsidP="00553970">
      <w:pPr>
        <w:pStyle w:val="InterfaceDetail"/>
      </w:pPr>
      <w:r>
        <w:t>Description:</w:t>
      </w:r>
      <w:r>
        <w:tab/>
        <w:t>A utility power source must be provided to support the cooling systems on the north platform and for other facility needs.</w:t>
      </w:r>
    </w:p>
    <w:p w:rsidR="00553970" w:rsidRDefault="00553970" w:rsidP="00553970">
      <w:pPr>
        <w:pStyle w:val="InterfaceDetail"/>
      </w:pPr>
      <w:r>
        <w:t>Provider:</w:t>
      </w:r>
      <w:r>
        <w:tab/>
        <w:t>Detector Infrastructure and Utilities Integration (6.03.09.03)</w:t>
      </w:r>
    </w:p>
    <w:p w:rsidR="00553970" w:rsidRPr="00553970" w:rsidRDefault="00553970" w:rsidP="00553970">
      <w:pPr>
        <w:pStyle w:val="InterfaceDetail"/>
      </w:pPr>
      <w:r>
        <w:t>Details:</w:t>
      </w:r>
      <w:r>
        <w:tab/>
      </w:r>
      <w:r w:rsidRPr="00553970">
        <w:rPr>
          <w:i/>
        </w:rPr>
        <w:t>See details in the Detector Infrastructure Interface Control Document.</w:t>
      </w:r>
    </w:p>
    <w:p w:rsidR="00553970" w:rsidRPr="00553970" w:rsidRDefault="00553970" w:rsidP="00553970">
      <w:pPr>
        <w:pStyle w:val="InterfaceDetail"/>
      </w:pPr>
      <w:r w:rsidRPr="00553970">
        <w:t>Requirements:</w:t>
      </w:r>
      <w:r w:rsidRPr="00553970">
        <w:tab/>
        <w:t>F-DET-INF-ELEC.1</w:t>
      </w:r>
    </w:p>
    <w:p w:rsidR="00553970" w:rsidRPr="00553970" w:rsidRDefault="00553970" w:rsidP="00553970">
      <w:pPr>
        <w:pStyle w:val="InterfaceDetail"/>
      </w:pPr>
      <w:r w:rsidRPr="00553970">
        <w:t>References:</w:t>
      </w:r>
      <w:r w:rsidRPr="00553970">
        <w:tab/>
      </w:r>
    </w:p>
    <w:p w:rsidR="00553970" w:rsidRDefault="00553970" w:rsidP="00553970">
      <w:pPr>
        <w:pStyle w:val="InterfaceHeading2"/>
      </w:pPr>
      <w:r>
        <w:t>I-DET-INF-INT.046</w:t>
      </w:r>
      <w:r>
        <w:tab/>
        <w:t>Compressed Air</w:t>
      </w:r>
    </w:p>
    <w:p w:rsidR="00553970" w:rsidRDefault="00553970" w:rsidP="00553970">
      <w:pPr>
        <w:pStyle w:val="InterfaceDetail"/>
      </w:pPr>
      <w:r>
        <w:t>System 1:</w:t>
      </w:r>
      <w:r>
        <w:tab/>
        <w:t>Detector Infrastructure and Utilities Integration (6.03.09.03)</w:t>
      </w:r>
    </w:p>
    <w:p w:rsidR="00553970" w:rsidRDefault="00553970" w:rsidP="00553970">
      <w:pPr>
        <w:pStyle w:val="InterfaceDetail"/>
      </w:pPr>
      <w:r>
        <w:t>System 2:</w:t>
      </w:r>
      <w:r>
        <w:tab/>
        <w:t>BNL Portfolio FIPD (BNL-FIPD)</w:t>
      </w:r>
    </w:p>
    <w:p w:rsidR="00553970" w:rsidRDefault="00553970" w:rsidP="00553970">
      <w:pPr>
        <w:pStyle w:val="InterfaceDetail"/>
      </w:pPr>
      <w:r>
        <w:t>Type:</w:t>
      </w:r>
      <w:r>
        <w:tab/>
        <w:t>GAS/FLUID</w:t>
      </w:r>
    </w:p>
    <w:p w:rsidR="00553970" w:rsidRDefault="00553970" w:rsidP="00553970">
      <w:pPr>
        <w:pStyle w:val="InterfaceDetail"/>
      </w:pPr>
      <w:r>
        <w:t>Description:</w:t>
      </w:r>
      <w:r>
        <w:tab/>
        <w:t>A compressed air source must be provided for the ancillary detectors and to maintain vacuum on other detector sub-systems.</w:t>
      </w:r>
    </w:p>
    <w:p w:rsidR="00553970" w:rsidRDefault="00553970" w:rsidP="00553970">
      <w:pPr>
        <w:pStyle w:val="InterfaceDetail"/>
      </w:pPr>
      <w:r>
        <w:t>Provider:</w:t>
      </w:r>
      <w:r>
        <w:tab/>
        <w:t>Detector Infrastructure and Utilities Integration (6.03.09.03)</w:t>
      </w:r>
    </w:p>
    <w:p w:rsidR="00553970" w:rsidRPr="00553970" w:rsidRDefault="00553970" w:rsidP="00553970">
      <w:pPr>
        <w:pStyle w:val="InterfaceDetail"/>
      </w:pPr>
      <w:r>
        <w:t>Details:</w:t>
      </w:r>
      <w:r>
        <w:tab/>
      </w:r>
      <w:r w:rsidRPr="00553970">
        <w:rPr>
          <w:i/>
        </w:rPr>
        <w:t>See details in the Detector Infrastructure Interface Control Document.</w:t>
      </w:r>
    </w:p>
    <w:p w:rsidR="00553970" w:rsidRPr="00553970" w:rsidRDefault="00553970" w:rsidP="00553970">
      <w:pPr>
        <w:pStyle w:val="InterfaceDetail"/>
      </w:pPr>
      <w:r w:rsidRPr="00553970">
        <w:t>Requirements:</w:t>
      </w:r>
      <w:r w:rsidRPr="00553970">
        <w:tab/>
        <w:t>F-DET-INF.3, F-DET-INF.4, F-DET-INF.5</w:t>
      </w:r>
    </w:p>
    <w:p w:rsidR="00553970" w:rsidRPr="00553970" w:rsidRDefault="00553970" w:rsidP="00553970">
      <w:pPr>
        <w:pStyle w:val="InterfaceDetail"/>
      </w:pPr>
      <w:r w:rsidRPr="00553970">
        <w:t>References:</w:t>
      </w:r>
      <w:r w:rsidRPr="00553970">
        <w:tab/>
      </w:r>
    </w:p>
    <w:p w:rsidR="00553970" w:rsidRDefault="00553970" w:rsidP="00553970">
      <w:pPr>
        <w:pStyle w:val="InterfaceHeading2"/>
      </w:pPr>
      <w:r>
        <w:t>I-DET-INF-INT.047</w:t>
      </w:r>
      <w:r>
        <w:tab/>
        <w:t>Dry Nitrogen</w:t>
      </w:r>
    </w:p>
    <w:p w:rsidR="00553970" w:rsidRDefault="00553970" w:rsidP="00553970">
      <w:pPr>
        <w:pStyle w:val="InterfaceDetail"/>
      </w:pPr>
      <w:r>
        <w:t>System 1:</w:t>
      </w:r>
      <w:r>
        <w:tab/>
        <w:t>Detector Infrastructure and Utilities Integration (6.03.09.03)</w:t>
      </w:r>
    </w:p>
    <w:p w:rsidR="00553970" w:rsidRDefault="00553970" w:rsidP="00553970">
      <w:pPr>
        <w:pStyle w:val="InterfaceDetail"/>
      </w:pPr>
      <w:r>
        <w:t>System 2:</w:t>
      </w:r>
      <w:r>
        <w:tab/>
        <w:t>BNL Portfolio FIPD (BNL-FIPD)</w:t>
      </w:r>
    </w:p>
    <w:p w:rsidR="00553970" w:rsidRDefault="00553970" w:rsidP="00553970">
      <w:pPr>
        <w:pStyle w:val="InterfaceDetail"/>
      </w:pPr>
      <w:r>
        <w:lastRenderedPageBreak/>
        <w:t>Type:</w:t>
      </w:r>
      <w:r>
        <w:tab/>
        <w:t>GAS/FLUID</w:t>
      </w:r>
    </w:p>
    <w:p w:rsidR="00553970" w:rsidRDefault="00553970" w:rsidP="00553970">
      <w:pPr>
        <w:pStyle w:val="InterfaceDetail"/>
      </w:pPr>
      <w:r>
        <w:t>Description:</w:t>
      </w:r>
      <w:r>
        <w:tab/>
        <w:t>A supply of dry nitrogen will be needed to purge gas detectors or to cool humidity sensitive detectors (as needed).</w:t>
      </w:r>
    </w:p>
    <w:p w:rsidR="00553970" w:rsidRDefault="00553970" w:rsidP="00553970">
      <w:pPr>
        <w:pStyle w:val="InterfaceDetail"/>
      </w:pPr>
      <w:r>
        <w:t>Provider:</w:t>
      </w:r>
      <w:r>
        <w:tab/>
        <w:t>Detector Infrastructure and Utilities Integration (6.03.09.03)</w:t>
      </w:r>
    </w:p>
    <w:p w:rsidR="00553970" w:rsidRPr="00553970" w:rsidRDefault="00553970" w:rsidP="00553970">
      <w:pPr>
        <w:pStyle w:val="InterfaceDetail"/>
      </w:pPr>
      <w:r>
        <w:t>Details:</w:t>
      </w:r>
      <w:r>
        <w:tab/>
      </w:r>
      <w:r w:rsidRPr="00553970">
        <w:rPr>
          <w:i/>
        </w:rPr>
        <w:t>See details in the Detector Infrastructure Interface Control Document.</w:t>
      </w:r>
    </w:p>
    <w:p w:rsidR="00553970" w:rsidRPr="00553970" w:rsidRDefault="00553970" w:rsidP="00553970">
      <w:pPr>
        <w:pStyle w:val="InterfaceDetail"/>
      </w:pPr>
      <w:r w:rsidRPr="00553970">
        <w:t>Requirements:</w:t>
      </w:r>
      <w:r w:rsidRPr="00553970">
        <w:tab/>
        <w:t>F-DET-INF.3, F-DET-INF.4, F-DET-INF.5</w:t>
      </w:r>
    </w:p>
    <w:p w:rsidR="00553970" w:rsidRPr="00553970" w:rsidRDefault="00553970" w:rsidP="00553970">
      <w:pPr>
        <w:pStyle w:val="InterfaceDetail"/>
      </w:pPr>
      <w:r w:rsidRPr="00553970">
        <w:t>References:</w:t>
      </w:r>
      <w:r w:rsidRPr="00553970">
        <w:tab/>
      </w:r>
    </w:p>
    <w:p w:rsidR="00553970" w:rsidRDefault="00553970" w:rsidP="00553970">
      <w:pPr>
        <w:pStyle w:val="InterfaceHeading2"/>
      </w:pPr>
      <w:r>
        <w:t>I-DET-INF-INT.048</w:t>
      </w:r>
      <w:r>
        <w:tab/>
        <w:t>Hall Accessibility (Door Size)</w:t>
      </w:r>
    </w:p>
    <w:p w:rsidR="00553970" w:rsidRDefault="00553970" w:rsidP="00553970">
      <w:pPr>
        <w:pStyle w:val="InterfaceDetail"/>
      </w:pPr>
      <w:r>
        <w:t>System 1:</w:t>
      </w:r>
      <w:r>
        <w:tab/>
        <w:t>Detector Infrastructure and Utilities Integration (6.03.09.03)</w:t>
      </w:r>
    </w:p>
    <w:p w:rsidR="00553970" w:rsidRDefault="00553970" w:rsidP="00553970">
      <w:pPr>
        <w:pStyle w:val="InterfaceDetail"/>
      </w:pPr>
      <w:r>
        <w:t>System 2:</w:t>
      </w:r>
      <w:r>
        <w:tab/>
        <w:t>BNL Portfolio FIPD (BNL-FIPD)</w:t>
      </w:r>
    </w:p>
    <w:p w:rsidR="00553970" w:rsidRDefault="00553970" w:rsidP="00553970">
      <w:pPr>
        <w:pStyle w:val="InterfaceDetail"/>
      </w:pPr>
      <w:r>
        <w:t>Type:</w:t>
      </w:r>
      <w:r>
        <w:tab/>
        <w:t>SPACE</w:t>
      </w:r>
    </w:p>
    <w:p w:rsidR="00553970" w:rsidRDefault="00553970" w:rsidP="00553970">
      <w:pPr>
        <w:pStyle w:val="InterfaceDetail"/>
      </w:pPr>
      <w:r>
        <w:t>Description:</w:t>
      </w:r>
      <w:r>
        <w:tab/>
        <w:t>The opening size of the door that adjoins the experimental hall and the assembly area must remain large enough to accommodate movement of the ePIC barrel assembly.</w:t>
      </w:r>
    </w:p>
    <w:p w:rsidR="00553970" w:rsidRDefault="00553970" w:rsidP="00553970">
      <w:pPr>
        <w:pStyle w:val="InterfaceDetail"/>
      </w:pPr>
      <w:r>
        <w:t>Provider:</w:t>
      </w:r>
      <w:r>
        <w:tab/>
        <w:t>Detector Infrastructure and Utilities Integration (6.03.09.03)</w:t>
      </w:r>
    </w:p>
    <w:p w:rsidR="00553970" w:rsidRPr="00553970" w:rsidRDefault="00553970" w:rsidP="00553970">
      <w:pPr>
        <w:pStyle w:val="InterfaceDetail"/>
      </w:pPr>
      <w:r>
        <w:t>Details:</w:t>
      </w:r>
      <w:r>
        <w:tab/>
      </w:r>
      <w:r w:rsidRPr="00553970">
        <w:rPr>
          <w:i/>
        </w:rPr>
        <w:t>See details in the Detector Infrastructure Interface Control Document.</w:t>
      </w:r>
    </w:p>
    <w:p w:rsidR="00553970" w:rsidRPr="00553970" w:rsidRDefault="00553970" w:rsidP="00553970">
      <w:pPr>
        <w:pStyle w:val="InterfaceDetail"/>
      </w:pPr>
      <w:r w:rsidRPr="00553970">
        <w:t>Requirements:</w:t>
      </w:r>
      <w:r w:rsidRPr="00553970">
        <w:tab/>
        <w:t>F-DET-INF.4</w:t>
      </w:r>
    </w:p>
    <w:p w:rsidR="00553970" w:rsidRPr="00553970" w:rsidRDefault="00553970" w:rsidP="00553970">
      <w:pPr>
        <w:pStyle w:val="InterfaceDetail"/>
      </w:pPr>
      <w:r w:rsidRPr="00553970">
        <w:t>References:</w:t>
      </w:r>
      <w:r w:rsidRPr="00553970">
        <w:tab/>
      </w:r>
    </w:p>
    <w:p w:rsidR="00833E3A" w:rsidRDefault="00833E3A" w:rsidP="00553970">
      <w:pPr>
        <w:pStyle w:val="InterfaceDetail"/>
      </w:pPr>
    </w:p>
    <w:p w:rsidR="00833E3A" w:rsidRPr="00833E3A" w:rsidRDefault="00833E3A" w:rsidP="00833E3A">
      <w:bookmarkStart w:id="41" w:name="InterfaceDetails"/>
      <w:bookmarkEnd w:id="41"/>
    </w:p>
    <w:p w:rsidR="007A0EA6" w:rsidRPr="007A0EA6" w:rsidRDefault="007A0EA6" w:rsidP="00245F70">
      <w:pPr>
        <w:pStyle w:val="Heading1"/>
      </w:pPr>
      <w:bookmarkStart w:id="42" w:name="_Toc137386761"/>
      <w:bookmarkStart w:id="43" w:name="_Toc137386903"/>
      <w:bookmarkStart w:id="44" w:name="_Toc234935700"/>
      <w:r w:rsidRPr="007A0EA6">
        <w:t>Applicable Documents</w:t>
      </w:r>
      <w:bookmarkEnd w:id="42"/>
      <w:bookmarkEnd w:id="43"/>
      <w:bookmarkEnd w:id="44"/>
    </w:p>
    <w:p w:rsidR="007A0EA6" w:rsidRPr="007A0EA6" w:rsidRDefault="007A0EA6" w:rsidP="007A0EA6">
      <w:pPr>
        <w:pStyle w:val="Body1"/>
      </w:pPr>
      <w:r w:rsidRPr="007A0EA6">
        <w:t>List applicable documents considered to be part of this document. Applicable documents shall be obtained from the EIC SharePoint Document Center.</w:t>
      </w:r>
    </w:p>
    <w:p w:rsidR="007A0EA6" w:rsidRPr="007A0EA6" w:rsidRDefault="007A0EA6" w:rsidP="00245F70">
      <w:pPr>
        <w:pStyle w:val="Heading1"/>
      </w:pPr>
      <w:bookmarkStart w:id="45" w:name="_Toc137386762"/>
      <w:bookmarkStart w:id="46" w:name="_Toc137386904"/>
      <w:bookmarkStart w:id="47" w:name="_Toc234935701"/>
      <w:r w:rsidRPr="007A0EA6">
        <w:t>Detailed change Log</w:t>
      </w:r>
      <w:bookmarkEnd w:id="45"/>
      <w:bookmarkEnd w:id="46"/>
      <w:bookmarkEnd w:id="47"/>
    </w:p>
    <w:tbl>
      <w:tblPr>
        <w:tblStyle w:val="InterfaceSummaryTable"/>
        <w:tblW w:w="0" w:type="auto"/>
        <w:tblLook w:val="04A0" w:firstRow="1" w:lastRow="0" w:firstColumn="1" w:lastColumn="0" w:noHBand="0" w:noVBand="1"/>
      </w:tblPr>
      <w:tblGrid>
        <w:gridCol w:w="1165"/>
        <w:gridCol w:w="1170"/>
        <w:gridCol w:w="7015"/>
      </w:tblGrid>
      <w:tr w:rsidR="007A0EA6" w:rsidTr="001C5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r w:rsidRPr="001C5347">
              <w:t>Revision</w:t>
            </w:r>
          </w:p>
        </w:tc>
        <w:tc>
          <w:tcPr>
            <w:tcW w:w="1170"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Date</w:t>
            </w:r>
          </w:p>
        </w:tc>
        <w:tc>
          <w:tcPr>
            <w:tcW w:w="7015"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Change</w:t>
            </w: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bl>
    <w:p w:rsidR="007A0EA6" w:rsidRPr="007A0EA6" w:rsidRDefault="00D61851" w:rsidP="00245F70">
      <w:pPr>
        <w:pStyle w:val="Heading1"/>
      </w:pPr>
      <w:bookmarkStart w:id="48" w:name="_Toc234935702"/>
      <w:r>
        <w:t>References</w:t>
      </w:r>
      <w:bookmarkEnd w:id="48"/>
    </w:p>
    <w:p w:rsidR="007A0EA6" w:rsidRPr="00E41820" w:rsidRDefault="007A0EA6" w:rsidP="00465773">
      <w:pPr>
        <w:pStyle w:val="ListofReferences"/>
        <w:numPr>
          <w:ilvl w:val="0"/>
          <w:numId w:val="3"/>
        </w:numPr>
        <w:ind w:left="360"/>
      </w:pPr>
      <w:r w:rsidRPr="00E41820">
        <w:t xml:space="preserve">doi:10.17226/25171., </w:t>
      </w:r>
      <w:r w:rsidRPr="003E736D">
        <w:t>National</w:t>
      </w:r>
      <w:r w:rsidRPr="00E41820">
        <w:t xml:space="preserve"> Academies of Sciences, Engineering, and Medicine, "An Assessment of U.S.-Based Electron-Ion Collider Science", The National Academies Press, Washington, DC, 2018.</w:t>
      </w:r>
      <w:r w:rsidR="00D51AFC">
        <w:t xml:space="preserve"> </w:t>
      </w:r>
      <w:r w:rsidRPr="00E41820">
        <w:t> </w:t>
      </w:r>
    </w:p>
    <w:p w:rsidR="007A0EA6" w:rsidRPr="007306C4" w:rsidRDefault="007A0EA6" w:rsidP="00465773">
      <w:pPr>
        <w:pStyle w:val="ListofReferences"/>
        <w:numPr>
          <w:ilvl w:val="0"/>
          <w:numId w:val="3"/>
        </w:numPr>
        <w:ind w:left="360"/>
      </w:pPr>
      <w:r w:rsidRPr="007306C4">
        <w:lastRenderedPageBreak/>
        <w:t>EIC-ORG-PLN-010, Electron-Ion Collider L1 Requirements (Global Requirements Document) </w:t>
      </w:r>
    </w:p>
    <w:p w:rsidR="007A0EA6" w:rsidRDefault="007A0EA6" w:rsidP="00465773">
      <w:pPr>
        <w:pStyle w:val="ListofReferences"/>
        <w:numPr>
          <w:ilvl w:val="0"/>
          <w:numId w:val="3"/>
        </w:numPr>
        <w:ind w:left="360"/>
      </w:pPr>
      <w:r w:rsidRPr="007306C4">
        <w:t>BNL-221006-2021-FORE, EIC Conceptual Design Report </w:t>
      </w:r>
    </w:p>
    <w:p w:rsidR="007A0EA6" w:rsidRPr="006B30FA" w:rsidRDefault="007A0EA6" w:rsidP="00465773">
      <w:pPr>
        <w:pStyle w:val="ListofReferences"/>
        <w:numPr>
          <w:ilvl w:val="0"/>
          <w:numId w:val="3"/>
        </w:numPr>
        <w:ind w:left="360"/>
      </w:pPr>
      <w:r w:rsidRPr="006B30FA">
        <w:t>arXiv:2103.05419</w:t>
      </w:r>
      <w:r>
        <w:t xml:space="preserve">, </w:t>
      </w:r>
      <w:r w:rsidRPr="006B30FA">
        <w:t>Science Requirements and Detector Concepts for the Electron-Ion Collider: EIC Yellow Report</w:t>
      </w:r>
    </w:p>
    <w:p w:rsidR="007A0EA6" w:rsidRPr="007306C4" w:rsidRDefault="007A0EA6" w:rsidP="00465773">
      <w:pPr>
        <w:pStyle w:val="ListofReferences"/>
        <w:numPr>
          <w:ilvl w:val="0"/>
          <w:numId w:val="3"/>
        </w:numPr>
        <w:ind w:left="360"/>
      </w:pPr>
      <w:r w:rsidRPr="007306C4">
        <w:t>EIC-SEG-PLN-016, Requirements Management Plan </w:t>
      </w:r>
    </w:p>
    <w:p w:rsidR="007A0EA6" w:rsidRDefault="007A0EA6" w:rsidP="00465773">
      <w:pPr>
        <w:pStyle w:val="ListofReferences"/>
        <w:numPr>
          <w:ilvl w:val="0"/>
          <w:numId w:val="3"/>
        </w:numPr>
        <w:ind w:left="360"/>
      </w:pPr>
      <w:r w:rsidRPr="007306C4">
        <w:t>EIC-SEG-PLN-</w:t>
      </w:r>
      <w:r w:rsidR="00A561E8">
        <w:t>022</w:t>
      </w:r>
      <w:r w:rsidRPr="007306C4">
        <w:t xml:space="preserve">, Systems Engineering </w:t>
      </w:r>
      <w:r w:rsidR="00A561E8">
        <w:t xml:space="preserve">Management </w:t>
      </w:r>
      <w:r w:rsidRPr="007306C4">
        <w:t>Plan </w:t>
      </w:r>
    </w:p>
    <w:p w:rsidR="007A0EA6" w:rsidRPr="007306C4" w:rsidRDefault="007A0EA6" w:rsidP="00465773">
      <w:pPr>
        <w:pStyle w:val="ListofReferences"/>
        <w:numPr>
          <w:ilvl w:val="0"/>
          <w:numId w:val="3"/>
        </w:numPr>
        <w:ind w:left="360"/>
      </w:pPr>
      <w:r w:rsidRPr="007306C4">
        <w:t>EIC-SEG-PLN-020, EIC Interface Management Plan </w:t>
      </w:r>
    </w:p>
    <w:p w:rsidR="00A100A8" w:rsidRPr="007A0EA6" w:rsidRDefault="00A100A8" w:rsidP="007A0EA6">
      <w:pPr>
        <w:pStyle w:val="Body2"/>
      </w:pPr>
    </w:p>
    <w:sectPr w:rsidR="00A100A8" w:rsidRPr="007A0EA6" w:rsidSect="00DC30BD">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3970" w:rsidRDefault="00553970" w:rsidP="006F08CB">
      <w:r>
        <w:separator/>
      </w:r>
    </w:p>
    <w:p w:rsidR="00553970" w:rsidRDefault="00553970"/>
  </w:endnote>
  <w:endnote w:type="continuationSeparator" w:id="0">
    <w:p w:rsidR="00553970" w:rsidRDefault="00553970" w:rsidP="006F08CB">
      <w:r>
        <w:continuationSeparator/>
      </w:r>
    </w:p>
    <w:p w:rsidR="00553970" w:rsidRDefault="00553970"/>
  </w:endnote>
  <w:endnote w:type="continuationNotice" w:id="1">
    <w:p w:rsidR="00553970" w:rsidRDefault="00553970"/>
    <w:p w:rsidR="00553970" w:rsidRDefault="005539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081F9F" w:rsidRDefault="00854AC7" w:rsidP="00957CE7">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Pr>
        <w:rFonts w:cs="Times New Roman"/>
        <w:noProof/>
      </w:rPr>
      <w:t>5</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Pr>
        <w:rFonts w:cs="Times New Roman"/>
        <w:noProof/>
      </w:rPr>
      <w:t>7</w:t>
    </w:r>
    <w:r w:rsidRPr="00081F9F">
      <w:rPr>
        <w:rFonts w:cs="Times New Roman"/>
        <w:noProof/>
      </w:rPr>
      <w:fldChar w:fldCharType="end"/>
    </w:r>
  </w:p>
  <w:p w:rsidR="00854AC7" w:rsidRDefault="00854A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53173B" w:rsidRDefault="00854AC7" w:rsidP="0053173B">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Pr>
        <w:rFonts w:cs="Times New Roman"/>
        <w:noProof/>
      </w:rPr>
      <w:t>1</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Pr>
        <w:rFonts w:cs="Times New Roman"/>
        <w:noProof/>
      </w:rPr>
      <w:t>7</w:t>
    </w:r>
    <w:r w:rsidRPr="00081F9F">
      <w:rPr>
        <w:rFonts w:cs="Times New Roman"/>
        <w:noProof/>
      </w:rPr>
      <w:fldChar w:fldCharType="end"/>
    </w:r>
  </w:p>
  <w:p w:rsidR="00854AC7" w:rsidRDefault="00854A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3970" w:rsidRDefault="00553970" w:rsidP="006F08CB">
      <w:r>
        <w:separator/>
      </w:r>
    </w:p>
    <w:p w:rsidR="00553970" w:rsidRDefault="00553970"/>
  </w:footnote>
  <w:footnote w:type="continuationSeparator" w:id="0">
    <w:p w:rsidR="00553970" w:rsidRDefault="00553970" w:rsidP="006F08CB">
      <w:r>
        <w:continuationSeparator/>
      </w:r>
    </w:p>
    <w:p w:rsidR="00553970" w:rsidRDefault="00553970"/>
  </w:footnote>
  <w:footnote w:type="continuationNotice" w:id="1">
    <w:p w:rsidR="00553970" w:rsidRDefault="00553970"/>
    <w:p w:rsidR="00553970" w:rsidRDefault="005539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2E5DE2" w:rsidRDefault="00854AC7"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854AC7" w:rsidRPr="00D922F4" w:rsidTr="00E444DD">
      <w:trPr>
        <w:jc w:val="center"/>
      </w:trPr>
      <w:tc>
        <w:tcPr>
          <w:tcW w:w="10195" w:type="dxa"/>
          <w:gridSpan w:val="4"/>
          <w:tcBorders>
            <w:bottom w:val="single" w:sz="4" w:space="0" w:color="000000" w:themeColor="text1"/>
          </w:tcBorders>
          <w:shd w:val="clear" w:color="auto" w:fill="auto"/>
          <w:vAlign w:val="center"/>
        </w:tcPr>
        <w:p w:rsidR="00854AC7" w:rsidRPr="00D922F4" w:rsidRDefault="00854AC7" w:rsidP="002E5DE2">
          <w:pPr>
            <w:pStyle w:val="HeaderCellCtr"/>
          </w:pPr>
          <w:r w:rsidRPr="00D922F4">
            <w:t>Electron-Ion Collider, Brookhaven National Laboratory</w:t>
          </w:r>
        </w:p>
      </w:tc>
    </w:tr>
    <w:tr w:rsidR="00854AC7" w:rsidRPr="00D922F4" w:rsidTr="00E444DD">
      <w:trPr>
        <w:jc w:val="center"/>
      </w:trPr>
      <w:tc>
        <w:tcPr>
          <w:tcW w:w="3805"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854AC7" w:rsidRPr="00D922F4" w:rsidRDefault="00854AC7" w:rsidP="002E5DE2">
          <w:pPr>
            <w:pStyle w:val="HeaderCell"/>
          </w:pPr>
          <w:r w:rsidRPr="00D922F4">
            <w:rPr>
              <w:rStyle w:val="Strong"/>
            </w:rPr>
            <w:t>Review Frequency:</w:t>
          </w:r>
          <w:r w:rsidRPr="00D922F4">
            <w:t xml:space="preserve"> </w:t>
          </w:r>
          <w:r>
            <w:t>N/A</w:t>
          </w:r>
        </w:p>
      </w:tc>
    </w:tr>
    <w:tr w:rsidR="00854AC7" w:rsidRPr="00D922F4" w:rsidTr="00E444DD">
      <w:trPr>
        <w:jc w:val="center"/>
      </w:trPr>
      <w:tc>
        <w:tcPr>
          <w:tcW w:w="8068" w:type="dxa"/>
          <w:gridSpan w:val="3"/>
          <w:tcBorders>
            <w:top w:val="single" w:sz="4" w:space="0" w:color="000000" w:themeColor="text1"/>
          </w:tcBorders>
          <w:shd w:val="clear" w:color="auto" w:fill="auto"/>
        </w:tcPr>
        <w:p w:rsidR="00854AC7" w:rsidRPr="00D922F4" w:rsidRDefault="00854AC7"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854AC7" w:rsidRPr="00D922F4" w:rsidRDefault="00854AC7" w:rsidP="002E5DE2">
          <w:pPr>
            <w:pStyle w:val="HeaderCell"/>
          </w:pPr>
          <w:r w:rsidRPr="00D922F4">
            <w:rPr>
              <w:rStyle w:val="Strong"/>
            </w:rPr>
            <w:t>Revision:</w:t>
          </w:r>
          <w:r w:rsidRPr="00D922F4">
            <w:t xml:space="preserve"> 0</w:t>
          </w:r>
        </w:p>
      </w:tc>
    </w:tr>
  </w:tbl>
  <w:p w:rsidR="00854AC7" w:rsidRDefault="00854AC7">
    <w:pPr>
      <w:pStyle w:val="Header"/>
    </w:pPr>
  </w:p>
  <w:p w:rsidR="00854AC7" w:rsidRDefault="00854A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2E5DE2" w:rsidRDefault="00854AC7"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854AC7" w:rsidRPr="00D922F4" w:rsidTr="00E444DD">
      <w:trPr>
        <w:jc w:val="center"/>
      </w:trPr>
      <w:tc>
        <w:tcPr>
          <w:tcW w:w="10195" w:type="dxa"/>
          <w:gridSpan w:val="4"/>
          <w:tcBorders>
            <w:bottom w:val="single" w:sz="4" w:space="0" w:color="000000" w:themeColor="text1"/>
          </w:tcBorders>
          <w:shd w:val="clear" w:color="auto" w:fill="auto"/>
          <w:vAlign w:val="center"/>
        </w:tcPr>
        <w:p w:rsidR="00854AC7" w:rsidRPr="00D922F4" w:rsidRDefault="00854AC7" w:rsidP="002E5DE2">
          <w:pPr>
            <w:pStyle w:val="HeaderCellCtr"/>
          </w:pPr>
          <w:r w:rsidRPr="00D922F4">
            <w:t>Electron-Ion Collider, Brookhaven National Laboratory</w:t>
          </w:r>
        </w:p>
      </w:tc>
    </w:tr>
    <w:tr w:rsidR="00854AC7" w:rsidRPr="00D922F4" w:rsidTr="00E444DD">
      <w:trPr>
        <w:jc w:val="center"/>
      </w:trPr>
      <w:tc>
        <w:tcPr>
          <w:tcW w:w="3805"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854AC7" w:rsidRPr="00D922F4" w:rsidRDefault="00854AC7" w:rsidP="002E5DE2">
          <w:pPr>
            <w:pStyle w:val="HeaderCell"/>
          </w:pPr>
          <w:r w:rsidRPr="00D922F4">
            <w:rPr>
              <w:rStyle w:val="Strong"/>
            </w:rPr>
            <w:t>Review Frequency:</w:t>
          </w:r>
          <w:r w:rsidRPr="00D922F4">
            <w:t xml:space="preserve"> </w:t>
          </w:r>
          <w:r>
            <w:t>N/A</w:t>
          </w:r>
        </w:p>
      </w:tc>
    </w:tr>
    <w:tr w:rsidR="00854AC7" w:rsidRPr="00D922F4" w:rsidTr="00E444DD">
      <w:trPr>
        <w:jc w:val="center"/>
      </w:trPr>
      <w:tc>
        <w:tcPr>
          <w:tcW w:w="8068" w:type="dxa"/>
          <w:gridSpan w:val="3"/>
          <w:tcBorders>
            <w:top w:val="single" w:sz="4" w:space="0" w:color="000000" w:themeColor="text1"/>
          </w:tcBorders>
          <w:shd w:val="clear" w:color="auto" w:fill="auto"/>
        </w:tcPr>
        <w:p w:rsidR="00854AC7" w:rsidRPr="00D922F4" w:rsidRDefault="00854AC7"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854AC7" w:rsidRPr="00D922F4" w:rsidRDefault="00854AC7" w:rsidP="002E5DE2">
          <w:pPr>
            <w:pStyle w:val="HeaderCell"/>
          </w:pPr>
          <w:r w:rsidRPr="00D922F4">
            <w:rPr>
              <w:rStyle w:val="Strong"/>
            </w:rPr>
            <w:t>Revision:</w:t>
          </w:r>
          <w:r w:rsidRPr="00D922F4">
            <w:t xml:space="preserve"> 0</w:t>
          </w:r>
        </w:p>
      </w:tc>
    </w:tr>
  </w:tbl>
  <w:p w:rsidR="00854AC7" w:rsidRPr="002E5DE2" w:rsidRDefault="00854AC7" w:rsidP="002E5DE2">
    <w:pPr>
      <w:pStyle w:val="Header"/>
    </w:pPr>
  </w:p>
  <w:p w:rsidR="00854AC7" w:rsidRDefault="00854A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11198"/>
    <w:multiLevelType w:val="multilevel"/>
    <w:tmpl w:val="41BC49B6"/>
    <w:lvl w:ilvl="0">
      <w:start w:val="1"/>
      <w:numFmt w:val="none"/>
      <w:suff w:val="nothing"/>
      <w:lvlText w:val=""/>
      <w:lvlJc w:val="left"/>
      <w:pPr>
        <w:ind w:left="0" w:firstLine="0"/>
      </w:pPr>
      <w:rPr>
        <w:rFonts w:hint="default"/>
      </w:rPr>
    </w:lvl>
    <w:lvl w:ilvl="1">
      <w:start w:val="1"/>
      <w:numFmt w:val="none"/>
      <w:pStyle w:val="Body3"/>
      <w:suff w:val="nothing"/>
      <w:lvlText w:val=""/>
      <w:lvlJc w:val="left"/>
      <w:pPr>
        <w:ind w:left="288" w:firstLine="0"/>
      </w:pPr>
      <w:rPr>
        <w:rFonts w:hint="default"/>
      </w:rPr>
    </w:lvl>
    <w:lvl w:ilvl="2">
      <w:start w:val="1"/>
      <w:numFmt w:val="bullet"/>
      <w:pStyle w:val="Body3Bulleted"/>
      <w:lvlText w:val=""/>
      <w:lvlJc w:val="left"/>
      <w:pPr>
        <w:tabs>
          <w:tab w:val="num" w:pos="576"/>
        </w:tabs>
        <w:ind w:left="576" w:hanging="288"/>
      </w:pPr>
      <w:rPr>
        <w:rFonts w:ascii="Wingdings" w:hAnsi="Wingdings" w:hint="default"/>
      </w:rPr>
    </w:lvl>
    <w:lvl w:ilvl="3">
      <w:start w:val="1"/>
      <w:numFmt w:val="lowerLetter"/>
      <w:lvlRestart w:val="2"/>
      <w:pStyle w:val="Body3Lettered"/>
      <w:lvlText w:val="%4%1."/>
      <w:lvlJc w:val="left"/>
      <w:pPr>
        <w:tabs>
          <w:tab w:val="num" w:pos="576"/>
        </w:tabs>
        <w:ind w:left="576" w:hanging="288"/>
      </w:pPr>
      <w:rPr>
        <w:rFonts w:hint="default"/>
      </w:rPr>
    </w:lvl>
    <w:lvl w:ilvl="4">
      <w:start w:val="1"/>
      <w:numFmt w:val="decimal"/>
      <w:lvlRestart w:val="1"/>
      <w:pStyle w:val="Body3Numbered"/>
      <w:lvlText w:val="%5%1."/>
      <w:lvlJc w:val="left"/>
      <w:pPr>
        <w:tabs>
          <w:tab w:val="num" w:pos="576"/>
        </w:tabs>
        <w:ind w:left="576" w:hanging="288"/>
      </w:pPr>
      <w:rPr>
        <w:rFonts w:hint="default"/>
      </w:rPr>
    </w:lvl>
    <w:lvl w:ilvl="5">
      <w:start w:val="1"/>
      <w:numFmt w:val="none"/>
      <w:lvlRestart w:val="1"/>
      <w:pStyle w:val="Body3Sub"/>
      <w:suff w:val="nothing"/>
      <w:lvlText w:val="%6%1"/>
      <w:lvlJc w:val="left"/>
      <w:pPr>
        <w:ind w:left="576" w:firstLine="0"/>
      </w:pPr>
      <w:rPr>
        <w:rFonts w:hint="default"/>
      </w:rPr>
    </w:lvl>
    <w:lvl w:ilvl="6">
      <w:start w:val="1"/>
      <w:numFmt w:val="none"/>
      <w:lvlRestart w:val="1"/>
      <w:suff w:val="nothing"/>
      <w:lvlText w:val=""/>
      <w:lvlJc w:val="left"/>
      <w:pPr>
        <w:ind w:left="288" w:firstLine="0"/>
      </w:pPr>
      <w:rPr>
        <w:rFonts w:hint="default"/>
      </w:rPr>
    </w:lvl>
    <w:lvl w:ilvl="7">
      <w:start w:val="1"/>
      <w:numFmt w:val="none"/>
      <w:lvlRestart w:val="1"/>
      <w:suff w:val="nothing"/>
      <w:lvlText w:val=""/>
      <w:lvlJc w:val="left"/>
      <w:pPr>
        <w:ind w:left="288" w:firstLine="0"/>
      </w:pPr>
      <w:rPr>
        <w:rFonts w:hint="default"/>
      </w:rPr>
    </w:lvl>
    <w:lvl w:ilvl="8">
      <w:start w:val="1"/>
      <w:numFmt w:val="none"/>
      <w:lvlRestart w:val="1"/>
      <w:suff w:val="nothing"/>
      <w:lvlText w:val=""/>
      <w:lvlJc w:val="left"/>
      <w:pPr>
        <w:ind w:left="288" w:firstLine="0"/>
      </w:pPr>
      <w:rPr>
        <w:rFonts w:hint="default"/>
      </w:rPr>
    </w:lvl>
  </w:abstractNum>
  <w:abstractNum w:abstractNumId="1" w15:restartNumberingAfterBreak="0">
    <w:nsid w:val="0DD712C6"/>
    <w:multiLevelType w:val="multilevel"/>
    <w:tmpl w:val="F314F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71356B"/>
    <w:multiLevelType w:val="multilevel"/>
    <w:tmpl w:val="0CC8B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433777"/>
    <w:multiLevelType w:val="hybridMultilevel"/>
    <w:tmpl w:val="FE0A6D2C"/>
    <w:lvl w:ilvl="0" w:tplc="A50C67DA">
      <w:start w:val="1"/>
      <w:numFmt w:val="bullet"/>
      <w:pStyle w:val="InterfaceDetail"/>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317C143D"/>
    <w:multiLevelType w:val="multilevel"/>
    <w:tmpl w:val="F746BFBE"/>
    <w:lvl w:ilvl="0">
      <w:start w:val="1"/>
      <w:numFmt w:val="none"/>
      <w:suff w:val="nothing"/>
      <w:lvlText w:val=""/>
      <w:lvlJc w:val="left"/>
      <w:pPr>
        <w:ind w:left="0" w:firstLine="0"/>
      </w:pPr>
      <w:rPr>
        <w:rFonts w:hint="default"/>
      </w:rPr>
    </w:lvl>
    <w:lvl w:ilvl="1">
      <w:start w:val="1"/>
      <w:numFmt w:val="none"/>
      <w:pStyle w:val="Body1"/>
      <w:suff w:val="nothing"/>
      <w:lvlText w:val=""/>
      <w:lvlJc w:val="left"/>
      <w:pPr>
        <w:ind w:left="0" w:firstLine="0"/>
      </w:pPr>
      <w:rPr>
        <w:rFonts w:hint="default"/>
      </w:rPr>
    </w:lvl>
    <w:lvl w:ilvl="2">
      <w:start w:val="1"/>
      <w:numFmt w:val="bullet"/>
      <w:pStyle w:val="Body1Bulleted"/>
      <w:lvlText w:val=""/>
      <w:lvlJc w:val="left"/>
      <w:pPr>
        <w:tabs>
          <w:tab w:val="num" w:pos="288"/>
        </w:tabs>
        <w:ind w:left="288" w:hanging="288"/>
      </w:pPr>
      <w:rPr>
        <w:rFonts w:ascii="Wingdings" w:hAnsi="Wingdings" w:hint="default"/>
      </w:rPr>
    </w:lvl>
    <w:lvl w:ilvl="3">
      <w:start w:val="1"/>
      <w:numFmt w:val="lowerLetter"/>
      <w:lvlRestart w:val="2"/>
      <w:pStyle w:val="Body1Lettered"/>
      <w:lvlText w:val="%4."/>
      <w:lvlJc w:val="left"/>
      <w:pPr>
        <w:tabs>
          <w:tab w:val="num" w:pos="288"/>
        </w:tabs>
        <w:ind w:left="288" w:hanging="288"/>
      </w:pPr>
      <w:rPr>
        <w:rFonts w:hint="default"/>
      </w:rPr>
    </w:lvl>
    <w:lvl w:ilvl="4">
      <w:start w:val="1"/>
      <w:numFmt w:val="decimal"/>
      <w:lvlRestart w:val="2"/>
      <w:pStyle w:val="Body1Numbered"/>
      <w:lvlText w:val="%5."/>
      <w:lvlJc w:val="left"/>
      <w:pPr>
        <w:tabs>
          <w:tab w:val="num" w:pos="288"/>
        </w:tabs>
        <w:ind w:left="288" w:hanging="288"/>
      </w:pPr>
      <w:rPr>
        <w:rFonts w:hint="default"/>
      </w:rPr>
    </w:lvl>
    <w:lvl w:ilvl="5">
      <w:start w:val="1"/>
      <w:numFmt w:val="none"/>
      <w:lvlRestart w:val="2"/>
      <w:pStyle w:val="Body1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5" w15:restartNumberingAfterBreak="0">
    <w:nsid w:val="33161D1B"/>
    <w:multiLevelType w:val="multilevel"/>
    <w:tmpl w:val="B532D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5857A8"/>
    <w:multiLevelType w:val="multilevel"/>
    <w:tmpl w:val="3564C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06F0D"/>
    <w:multiLevelType w:val="multilevel"/>
    <w:tmpl w:val="2B384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8100CE"/>
    <w:multiLevelType w:val="multilevel"/>
    <w:tmpl w:val="28549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240D6C"/>
    <w:multiLevelType w:val="multilevel"/>
    <w:tmpl w:val="DB609FD2"/>
    <w:lvl w:ilvl="0">
      <w:start w:val="1"/>
      <w:numFmt w:val="none"/>
      <w:suff w:val="nothing"/>
      <w:lvlText w:val=""/>
      <w:lvlJc w:val="left"/>
      <w:pPr>
        <w:ind w:left="0" w:firstLine="0"/>
      </w:pPr>
      <w:rPr>
        <w:rFonts w:hint="default"/>
      </w:rPr>
    </w:lvl>
    <w:lvl w:ilvl="1">
      <w:start w:val="1"/>
      <w:numFmt w:val="none"/>
      <w:pStyle w:val="Body2"/>
      <w:suff w:val="nothing"/>
      <w:lvlText w:val=""/>
      <w:lvlJc w:val="left"/>
      <w:pPr>
        <w:ind w:left="0" w:firstLine="0"/>
      </w:pPr>
      <w:rPr>
        <w:rFonts w:hint="default"/>
      </w:rPr>
    </w:lvl>
    <w:lvl w:ilvl="2">
      <w:start w:val="1"/>
      <w:numFmt w:val="bullet"/>
      <w:pStyle w:val="Body2Bulleted"/>
      <w:lvlText w:val=""/>
      <w:lvlJc w:val="left"/>
      <w:pPr>
        <w:tabs>
          <w:tab w:val="num" w:pos="288"/>
        </w:tabs>
        <w:ind w:left="288" w:hanging="288"/>
      </w:pPr>
      <w:rPr>
        <w:rFonts w:ascii="Wingdings" w:hAnsi="Wingdings" w:hint="default"/>
      </w:rPr>
    </w:lvl>
    <w:lvl w:ilvl="3">
      <w:start w:val="1"/>
      <w:numFmt w:val="lowerLetter"/>
      <w:lvlRestart w:val="2"/>
      <w:pStyle w:val="Body2Lettered"/>
      <w:lvlText w:val="%4."/>
      <w:lvlJc w:val="left"/>
      <w:pPr>
        <w:tabs>
          <w:tab w:val="num" w:pos="288"/>
        </w:tabs>
        <w:ind w:left="288" w:hanging="288"/>
      </w:pPr>
      <w:rPr>
        <w:rFonts w:hint="default"/>
      </w:rPr>
    </w:lvl>
    <w:lvl w:ilvl="4">
      <w:start w:val="1"/>
      <w:numFmt w:val="decimal"/>
      <w:lvlRestart w:val="2"/>
      <w:pStyle w:val="Body2Numbered"/>
      <w:lvlText w:val="%5."/>
      <w:lvlJc w:val="left"/>
      <w:pPr>
        <w:tabs>
          <w:tab w:val="num" w:pos="288"/>
        </w:tabs>
        <w:ind w:left="288" w:hanging="288"/>
      </w:pPr>
      <w:rPr>
        <w:rFonts w:hint="default"/>
      </w:rPr>
    </w:lvl>
    <w:lvl w:ilvl="5">
      <w:start w:val="1"/>
      <w:numFmt w:val="none"/>
      <w:lvlRestart w:val="2"/>
      <w:pStyle w:val="Body2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10" w15:restartNumberingAfterBreak="0">
    <w:nsid w:val="48C162F6"/>
    <w:multiLevelType w:val="multilevel"/>
    <w:tmpl w:val="900A5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3F3A28"/>
    <w:multiLevelType w:val="multilevel"/>
    <w:tmpl w:val="B7362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5B7826"/>
    <w:multiLevelType w:val="hybridMultilevel"/>
    <w:tmpl w:val="5ED0C652"/>
    <w:lvl w:ilvl="0" w:tplc="C27A39D4">
      <w:start w:val="1"/>
      <w:numFmt w:val="decimal"/>
      <w:lvlText w:val="%1."/>
      <w:lvlJc w:val="left"/>
      <w:pPr>
        <w:ind w:left="720" w:hanging="360"/>
      </w:pPr>
    </w:lvl>
    <w:lvl w:ilvl="1" w:tplc="04090019">
      <w:start w:val="1"/>
      <w:numFmt w:val="lowerLetter"/>
      <w:pStyle w:val="ListofReferences"/>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614C20"/>
    <w:multiLevelType w:val="multilevel"/>
    <w:tmpl w:val="509AA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CB7C0F"/>
    <w:multiLevelType w:val="hybridMultilevel"/>
    <w:tmpl w:val="565A469E"/>
    <w:lvl w:ilvl="0" w:tplc="B2E8F9C4">
      <w:start w:val="1"/>
      <w:numFmt w:val="decimal"/>
      <w:pStyle w:val="TableNumber"/>
      <w:lvlText w:val="Table %1."/>
      <w:lvlJc w:val="left"/>
      <w:pPr>
        <w:ind w:left="6750" w:hanging="360"/>
      </w:pPr>
      <w:rPr>
        <w:rFonts w:ascii="Times New Roman" w:hAnsi="Times New Roman" w:cs="Times New Roman"/>
        <w:bCs w:val="0"/>
        <w:i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7470" w:hanging="360"/>
      </w:pPr>
    </w:lvl>
    <w:lvl w:ilvl="2" w:tplc="0409001B" w:tentative="1">
      <w:start w:val="1"/>
      <w:numFmt w:val="lowerRoman"/>
      <w:lvlText w:val="%3."/>
      <w:lvlJc w:val="right"/>
      <w:pPr>
        <w:ind w:left="8190" w:hanging="180"/>
      </w:pPr>
    </w:lvl>
    <w:lvl w:ilvl="3" w:tplc="0409000F" w:tentative="1">
      <w:start w:val="1"/>
      <w:numFmt w:val="decimal"/>
      <w:lvlText w:val="%4."/>
      <w:lvlJc w:val="left"/>
      <w:pPr>
        <w:ind w:left="8910" w:hanging="360"/>
      </w:pPr>
    </w:lvl>
    <w:lvl w:ilvl="4" w:tplc="04090019" w:tentative="1">
      <w:start w:val="1"/>
      <w:numFmt w:val="lowerLetter"/>
      <w:lvlText w:val="%5."/>
      <w:lvlJc w:val="left"/>
      <w:pPr>
        <w:ind w:left="9630" w:hanging="360"/>
      </w:pPr>
    </w:lvl>
    <w:lvl w:ilvl="5" w:tplc="0409001B" w:tentative="1">
      <w:start w:val="1"/>
      <w:numFmt w:val="lowerRoman"/>
      <w:lvlText w:val="%6."/>
      <w:lvlJc w:val="right"/>
      <w:pPr>
        <w:ind w:left="10350" w:hanging="180"/>
      </w:pPr>
    </w:lvl>
    <w:lvl w:ilvl="6" w:tplc="0409000F" w:tentative="1">
      <w:start w:val="1"/>
      <w:numFmt w:val="decimal"/>
      <w:lvlText w:val="%7."/>
      <w:lvlJc w:val="left"/>
      <w:pPr>
        <w:ind w:left="11070" w:hanging="360"/>
      </w:pPr>
    </w:lvl>
    <w:lvl w:ilvl="7" w:tplc="04090019" w:tentative="1">
      <w:start w:val="1"/>
      <w:numFmt w:val="lowerLetter"/>
      <w:lvlText w:val="%8."/>
      <w:lvlJc w:val="left"/>
      <w:pPr>
        <w:ind w:left="11790" w:hanging="360"/>
      </w:pPr>
    </w:lvl>
    <w:lvl w:ilvl="8" w:tplc="0409001B" w:tentative="1">
      <w:start w:val="1"/>
      <w:numFmt w:val="lowerRoman"/>
      <w:lvlText w:val="%9."/>
      <w:lvlJc w:val="right"/>
      <w:pPr>
        <w:ind w:left="12510" w:hanging="180"/>
      </w:pPr>
    </w:lvl>
  </w:abstractNum>
  <w:abstractNum w:abstractNumId="15" w15:restartNumberingAfterBreak="0">
    <w:nsid w:val="55C405A8"/>
    <w:multiLevelType w:val="multilevel"/>
    <w:tmpl w:val="80AA7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2C6503"/>
    <w:multiLevelType w:val="multilevel"/>
    <w:tmpl w:val="CC2EA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A15785"/>
    <w:multiLevelType w:val="multilevel"/>
    <w:tmpl w:val="A44EB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BF42F8"/>
    <w:multiLevelType w:val="multilevel"/>
    <w:tmpl w:val="E47E4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C51A5B"/>
    <w:multiLevelType w:val="multilevel"/>
    <w:tmpl w:val="B8BC7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440DC1"/>
    <w:multiLevelType w:val="multilevel"/>
    <w:tmpl w:val="AD5E9142"/>
    <w:lvl w:ilvl="0">
      <w:start w:val="1"/>
      <w:numFmt w:val="none"/>
      <w:suff w:val="nothing"/>
      <w:lvlText w:val="%1"/>
      <w:lvlJc w:val="right"/>
      <w:pPr>
        <w:ind w:left="576" w:firstLine="0"/>
      </w:pPr>
      <w:rPr>
        <w:rFonts w:hint="default"/>
      </w:rPr>
    </w:lvl>
    <w:lvl w:ilvl="1">
      <w:start w:val="1"/>
      <w:numFmt w:val="none"/>
      <w:pStyle w:val="Body4"/>
      <w:suff w:val="nothing"/>
      <w:lvlText w:val=""/>
      <w:lvlJc w:val="left"/>
      <w:pPr>
        <w:ind w:left="576" w:firstLine="0"/>
      </w:pPr>
      <w:rPr>
        <w:rFonts w:hint="default"/>
      </w:rPr>
    </w:lvl>
    <w:lvl w:ilvl="2">
      <w:start w:val="1"/>
      <w:numFmt w:val="bullet"/>
      <w:lvlRestart w:val="1"/>
      <w:pStyle w:val="Body4Bulleted"/>
      <w:lvlText w:val="-"/>
      <w:lvlJc w:val="left"/>
      <w:pPr>
        <w:tabs>
          <w:tab w:val="num" w:pos="864"/>
        </w:tabs>
        <w:ind w:left="864" w:hanging="288"/>
      </w:pPr>
      <w:rPr>
        <w:rFonts w:ascii="Arial" w:hAnsi="Arial" w:hint="default"/>
      </w:rPr>
    </w:lvl>
    <w:lvl w:ilvl="3">
      <w:start w:val="1"/>
      <w:numFmt w:val="lowerLetter"/>
      <w:lvlRestart w:val="1"/>
      <w:pStyle w:val="Body4Lettered"/>
      <w:lvlText w:val="%1%4."/>
      <w:lvlJc w:val="left"/>
      <w:pPr>
        <w:tabs>
          <w:tab w:val="num" w:pos="864"/>
        </w:tabs>
        <w:ind w:left="864" w:hanging="288"/>
      </w:pPr>
      <w:rPr>
        <w:rFonts w:hint="default"/>
      </w:rPr>
    </w:lvl>
    <w:lvl w:ilvl="4">
      <w:start w:val="1"/>
      <w:numFmt w:val="decimal"/>
      <w:lvlRestart w:val="1"/>
      <w:pStyle w:val="Body4Numbered"/>
      <w:lvlText w:val="%5."/>
      <w:lvlJc w:val="left"/>
      <w:pPr>
        <w:tabs>
          <w:tab w:val="num" w:pos="864"/>
        </w:tabs>
        <w:ind w:left="864" w:hanging="288"/>
      </w:pPr>
      <w:rPr>
        <w:rFonts w:hint="default"/>
      </w:rPr>
    </w:lvl>
    <w:lvl w:ilvl="5">
      <w:start w:val="1"/>
      <w:numFmt w:val="none"/>
      <w:lvlRestart w:val="1"/>
      <w:pStyle w:val="Body4Sub"/>
      <w:suff w:val="nothing"/>
      <w:lvlText w:val="%1"/>
      <w:lvlJc w:val="left"/>
      <w:pPr>
        <w:ind w:left="864" w:firstLine="0"/>
      </w:pPr>
      <w:rPr>
        <w:rFonts w:hint="default"/>
      </w:rPr>
    </w:lvl>
    <w:lvl w:ilvl="6">
      <w:start w:val="1"/>
      <w:numFmt w:val="none"/>
      <w:lvlRestart w:val="1"/>
      <w:suff w:val="nothing"/>
      <w:lvlText w:val="%7"/>
      <w:lvlJc w:val="left"/>
      <w:pPr>
        <w:ind w:left="864" w:firstLine="0"/>
      </w:pPr>
      <w:rPr>
        <w:rFonts w:hint="default"/>
      </w:rPr>
    </w:lvl>
    <w:lvl w:ilvl="7">
      <w:start w:val="1"/>
      <w:numFmt w:val="none"/>
      <w:lvlRestart w:val="1"/>
      <w:suff w:val="nothing"/>
      <w:lvlText w:val="%1"/>
      <w:lvlJc w:val="left"/>
      <w:pPr>
        <w:ind w:left="864" w:firstLine="0"/>
      </w:pPr>
      <w:rPr>
        <w:rFonts w:hint="default"/>
      </w:rPr>
    </w:lvl>
    <w:lvl w:ilvl="8">
      <w:start w:val="1"/>
      <w:numFmt w:val="none"/>
      <w:lvlRestart w:val="1"/>
      <w:suff w:val="nothing"/>
      <w:lvlText w:val="%1"/>
      <w:lvlJc w:val="left"/>
      <w:pPr>
        <w:ind w:left="864" w:firstLine="0"/>
      </w:pPr>
      <w:rPr>
        <w:rFonts w:hint="default"/>
      </w:rPr>
    </w:lvl>
  </w:abstractNum>
  <w:abstractNum w:abstractNumId="21" w15:restartNumberingAfterBreak="0">
    <w:nsid w:val="68473278"/>
    <w:multiLevelType w:val="multilevel"/>
    <w:tmpl w:val="C91E2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AB1F39"/>
    <w:multiLevelType w:val="hybridMultilevel"/>
    <w:tmpl w:val="79E6DF7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6A616751"/>
    <w:multiLevelType w:val="multilevel"/>
    <w:tmpl w:val="C0868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6A3D75"/>
    <w:multiLevelType w:val="multilevel"/>
    <w:tmpl w:val="DBFAC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8C22F9"/>
    <w:multiLevelType w:val="multilevel"/>
    <w:tmpl w:val="D48CA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241A8F"/>
    <w:multiLevelType w:val="hybridMultilevel"/>
    <w:tmpl w:val="F07C6296"/>
    <w:lvl w:ilvl="0" w:tplc="730E64D0">
      <w:start w:val="1"/>
      <w:numFmt w:val="decimal"/>
      <w:pStyle w:val="FigureNum"/>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23643B"/>
    <w:multiLevelType w:val="multilevel"/>
    <w:tmpl w:val="FCE69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CC2BF7"/>
    <w:multiLevelType w:val="multilevel"/>
    <w:tmpl w:val="0D96B5BC"/>
    <w:lvl w:ilvl="0">
      <w:start w:val="1"/>
      <w:numFmt w:val="decimal"/>
      <w:pStyle w:val="Heading1"/>
      <w:lvlText w:val="%1."/>
      <w:lvlJc w:val="right"/>
      <w:pPr>
        <w:tabs>
          <w:tab w:val="num" w:pos="0"/>
        </w:tabs>
        <w:ind w:left="0" w:hanging="144"/>
      </w:pPr>
      <w:rPr>
        <w:rFonts w:hint="default"/>
      </w:rPr>
    </w:lvl>
    <w:lvl w:ilvl="1">
      <w:start w:val="1"/>
      <w:numFmt w:val="decimal"/>
      <w:pStyle w:val="Heading2"/>
      <w:lvlText w:val="%1.%2"/>
      <w:lvlJc w:val="left"/>
      <w:pPr>
        <w:tabs>
          <w:tab w:val="num" w:pos="7542"/>
        </w:tabs>
        <w:ind w:left="7542" w:hanging="43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470"/>
        </w:tabs>
        <w:ind w:left="7470" w:hanging="720"/>
      </w:pPr>
      <w:rPr>
        <w:b w:val="0"/>
        <w:bCs w:val="0"/>
        <w:i w:val="0"/>
        <w:iCs w:val="0"/>
        <w:caps w:val="0"/>
        <w:smallCaps w:val="0"/>
        <w:strike w:val="0"/>
        <w:dstrike w:val="0"/>
        <w:outline w:val="0"/>
        <w:shadow w:val="0"/>
        <w:emboss w:val="0"/>
        <w:imprint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440"/>
        </w:tabs>
        <w:ind w:left="1440" w:hanging="864"/>
      </w:pPr>
      <w:rPr>
        <w:rFonts w:hint="default"/>
      </w:rPr>
    </w:lvl>
    <w:lvl w:ilvl="4">
      <w:start w:val="1"/>
      <w:numFmt w:val="none"/>
      <w:suff w:val="nothing"/>
      <w:lvlText w:val=""/>
      <w:lvlJc w:val="left"/>
      <w:pPr>
        <w:ind w:left="1440" w:hanging="1440"/>
      </w:pPr>
      <w:rPr>
        <w:rFonts w:hint="default"/>
      </w:rPr>
    </w:lvl>
    <w:lvl w:ilvl="5">
      <w:start w:val="1"/>
      <w:numFmt w:val="none"/>
      <w:suff w:val="nothing"/>
      <w:lvlText w:val=""/>
      <w:lvlJc w:val="left"/>
      <w:pPr>
        <w:ind w:left="1440" w:hanging="1440"/>
      </w:pPr>
      <w:rPr>
        <w:rFonts w:hint="default"/>
      </w:rPr>
    </w:lvl>
    <w:lvl w:ilvl="6">
      <w:start w:val="1"/>
      <w:numFmt w:val="none"/>
      <w:suff w:val="nothing"/>
      <w:lvlText w:val=""/>
      <w:lvlJc w:val="left"/>
      <w:pPr>
        <w:ind w:left="1440" w:hanging="1440"/>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440" w:hanging="1440"/>
      </w:pPr>
      <w:rPr>
        <w:rFonts w:hint="default"/>
      </w:rPr>
    </w:lvl>
  </w:abstractNum>
  <w:num w:numId="1">
    <w:abstractNumId w:val="26"/>
  </w:num>
  <w:num w:numId="2">
    <w:abstractNumId w:val="4"/>
  </w:num>
  <w:num w:numId="3">
    <w:abstractNumId w:val="12"/>
  </w:num>
  <w:num w:numId="4">
    <w:abstractNumId w:val="28"/>
  </w:num>
  <w:num w:numId="5">
    <w:abstractNumId w:val="0"/>
  </w:num>
  <w:num w:numId="6">
    <w:abstractNumId w:val="20"/>
  </w:num>
  <w:num w:numId="7">
    <w:abstractNumId w:val="9"/>
  </w:num>
  <w:num w:numId="8">
    <w:abstractNumId w:val="14"/>
  </w:num>
  <w:num w:numId="9">
    <w:abstractNumId w:val="3"/>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13"/>
  </w:num>
  <w:num w:numId="14">
    <w:abstractNumId w:val="7"/>
  </w:num>
  <w:num w:numId="15">
    <w:abstractNumId w:val="6"/>
  </w:num>
  <w:num w:numId="16">
    <w:abstractNumId w:val="15"/>
  </w:num>
  <w:num w:numId="17">
    <w:abstractNumId w:val="25"/>
  </w:num>
  <w:num w:numId="18">
    <w:abstractNumId w:val="11"/>
  </w:num>
  <w:num w:numId="19">
    <w:abstractNumId w:val="5"/>
  </w:num>
  <w:num w:numId="20">
    <w:abstractNumId w:val="16"/>
  </w:num>
  <w:num w:numId="21">
    <w:abstractNumId w:val="23"/>
  </w:num>
  <w:num w:numId="22">
    <w:abstractNumId w:val="10"/>
  </w:num>
  <w:num w:numId="23">
    <w:abstractNumId w:val="18"/>
  </w:num>
  <w:num w:numId="24">
    <w:abstractNumId w:val="21"/>
  </w:num>
  <w:num w:numId="25">
    <w:abstractNumId w:val="8"/>
  </w:num>
  <w:num w:numId="26">
    <w:abstractNumId w:val="17"/>
  </w:num>
  <w:num w:numId="27">
    <w:abstractNumId w:val="1"/>
  </w:num>
  <w:num w:numId="28">
    <w:abstractNumId w:val="19"/>
  </w:num>
  <w:num w:numId="29">
    <w:abstractNumId w:val="2"/>
  </w:num>
  <w:num w:numId="30">
    <w:abstractNumId w:val="24"/>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970"/>
    <w:rsid w:val="0000003C"/>
    <w:rsid w:val="00001CAB"/>
    <w:rsid w:val="00004818"/>
    <w:rsid w:val="00004AAA"/>
    <w:rsid w:val="00004DDE"/>
    <w:rsid w:val="00006155"/>
    <w:rsid w:val="00006674"/>
    <w:rsid w:val="000113F5"/>
    <w:rsid w:val="00014B10"/>
    <w:rsid w:val="00017BE0"/>
    <w:rsid w:val="00017DDD"/>
    <w:rsid w:val="00020162"/>
    <w:rsid w:val="000219D8"/>
    <w:rsid w:val="00021FAB"/>
    <w:rsid w:val="00024556"/>
    <w:rsid w:val="0002487A"/>
    <w:rsid w:val="00025328"/>
    <w:rsid w:val="000329F5"/>
    <w:rsid w:val="0003386C"/>
    <w:rsid w:val="000342C9"/>
    <w:rsid w:val="00040441"/>
    <w:rsid w:val="0005255F"/>
    <w:rsid w:val="00052AEA"/>
    <w:rsid w:val="00053240"/>
    <w:rsid w:val="000533A6"/>
    <w:rsid w:val="00053B05"/>
    <w:rsid w:val="0005543A"/>
    <w:rsid w:val="000575DC"/>
    <w:rsid w:val="00064B9F"/>
    <w:rsid w:val="00081A7B"/>
    <w:rsid w:val="00081F9F"/>
    <w:rsid w:val="00087281"/>
    <w:rsid w:val="00091FE3"/>
    <w:rsid w:val="000948C6"/>
    <w:rsid w:val="000A7A1A"/>
    <w:rsid w:val="000B2F7F"/>
    <w:rsid w:val="000B3778"/>
    <w:rsid w:val="000B39A5"/>
    <w:rsid w:val="000B7EB4"/>
    <w:rsid w:val="000C371F"/>
    <w:rsid w:val="000C3BD3"/>
    <w:rsid w:val="000C416E"/>
    <w:rsid w:val="000C611B"/>
    <w:rsid w:val="000D51B7"/>
    <w:rsid w:val="000D5B9F"/>
    <w:rsid w:val="000D645E"/>
    <w:rsid w:val="000D77CA"/>
    <w:rsid w:val="000D7CAC"/>
    <w:rsid w:val="000E073B"/>
    <w:rsid w:val="000E39A0"/>
    <w:rsid w:val="000E49F3"/>
    <w:rsid w:val="000E526B"/>
    <w:rsid w:val="000E5ADB"/>
    <w:rsid w:val="000F2409"/>
    <w:rsid w:val="000F275C"/>
    <w:rsid w:val="0010157C"/>
    <w:rsid w:val="00102D2A"/>
    <w:rsid w:val="00106D8B"/>
    <w:rsid w:val="00112A8E"/>
    <w:rsid w:val="001139CD"/>
    <w:rsid w:val="0011648D"/>
    <w:rsid w:val="00121CD0"/>
    <w:rsid w:val="00121FE0"/>
    <w:rsid w:val="00127A86"/>
    <w:rsid w:val="0013036B"/>
    <w:rsid w:val="0013168A"/>
    <w:rsid w:val="00135236"/>
    <w:rsid w:val="00136916"/>
    <w:rsid w:val="00146CB5"/>
    <w:rsid w:val="00146CC8"/>
    <w:rsid w:val="00147B71"/>
    <w:rsid w:val="00150682"/>
    <w:rsid w:val="00151833"/>
    <w:rsid w:val="00154719"/>
    <w:rsid w:val="00155FD3"/>
    <w:rsid w:val="0016268E"/>
    <w:rsid w:val="00164E6F"/>
    <w:rsid w:val="001653F7"/>
    <w:rsid w:val="001717CB"/>
    <w:rsid w:val="00171ED3"/>
    <w:rsid w:val="00172465"/>
    <w:rsid w:val="00172BDD"/>
    <w:rsid w:val="00173A55"/>
    <w:rsid w:val="00175189"/>
    <w:rsid w:val="00183CA1"/>
    <w:rsid w:val="00184D84"/>
    <w:rsid w:val="00191954"/>
    <w:rsid w:val="00191D58"/>
    <w:rsid w:val="001923EE"/>
    <w:rsid w:val="0019385F"/>
    <w:rsid w:val="0019476D"/>
    <w:rsid w:val="001970CF"/>
    <w:rsid w:val="001A49C6"/>
    <w:rsid w:val="001A7DD9"/>
    <w:rsid w:val="001B2987"/>
    <w:rsid w:val="001B7C58"/>
    <w:rsid w:val="001C0552"/>
    <w:rsid w:val="001C09FE"/>
    <w:rsid w:val="001C1613"/>
    <w:rsid w:val="001C5347"/>
    <w:rsid w:val="001D081B"/>
    <w:rsid w:val="001D1C59"/>
    <w:rsid w:val="001E50CB"/>
    <w:rsid w:val="001E5D9B"/>
    <w:rsid w:val="001F1B81"/>
    <w:rsid w:val="001F3056"/>
    <w:rsid w:val="001F3282"/>
    <w:rsid w:val="001F413C"/>
    <w:rsid w:val="001F4764"/>
    <w:rsid w:val="001F5BFC"/>
    <w:rsid w:val="002054DB"/>
    <w:rsid w:val="00205A22"/>
    <w:rsid w:val="00211E08"/>
    <w:rsid w:val="00212CDE"/>
    <w:rsid w:val="00213B03"/>
    <w:rsid w:val="00215F04"/>
    <w:rsid w:val="002205B3"/>
    <w:rsid w:val="0022558C"/>
    <w:rsid w:val="00233D6D"/>
    <w:rsid w:val="00236568"/>
    <w:rsid w:val="00241B81"/>
    <w:rsid w:val="00245F70"/>
    <w:rsid w:val="002516AD"/>
    <w:rsid w:val="00251A80"/>
    <w:rsid w:val="00261ABD"/>
    <w:rsid w:val="00262250"/>
    <w:rsid w:val="00262F27"/>
    <w:rsid w:val="00263133"/>
    <w:rsid w:val="00263418"/>
    <w:rsid w:val="00265427"/>
    <w:rsid w:val="00265F5A"/>
    <w:rsid w:val="002705D9"/>
    <w:rsid w:val="00272DFF"/>
    <w:rsid w:val="002742A2"/>
    <w:rsid w:val="00277CBB"/>
    <w:rsid w:val="0028560A"/>
    <w:rsid w:val="00285EEC"/>
    <w:rsid w:val="002861F5"/>
    <w:rsid w:val="00296E5A"/>
    <w:rsid w:val="002970D7"/>
    <w:rsid w:val="002A0DE7"/>
    <w:rsid w:val="002A52F5"/>
    <w:rsid w:val="002B1CFB"/>
    <w:rsid w:val="002B3779"/>
    <w:rsid w:val="002B4B7C"/>
    <w:rsid w:val="002B5E86"/>
    <w:rsid w:val="002B743C"/>
    <w:rsid w:val="002C3C64"/>
    <w:rsid w:val="002D1506"/>
    <w:rsid w:val="002D1996"/>
    <w:rsid w:val="002D1AFA"/>
    <w:rsid w:val="002D1C42"/>
    <w:rsid w:val="002D4E2E"/>
    <w:rsid w:val="002E0B62"/>
    <w:rsid w:val="002E3F57"/>
    <w:rsid w:val="002E5DE2"/>
    <w:rsid w:val="002E5F57"/>
    <w:rsid w:val="002F05CC"/>
    <w:rsid w:val="002F6C5C"/>
    <w:rsid w:val="00300F4D"/>
    <w:rsid w:val="00302D81"/>
    <w:rsid w:val="003065D5"/>
    <w:rsid w:val="003106B6"/>
    <w:rsid w:val="0031086F"/>
    <w:rsid w:val="00311D85"/>
    <w:rsid w:val="00314BF9"/>
    <w:rsid w:val="003156C0"/>
    <w:rsid w:val="00316CA2"/>
    <w:rsid w:val="0032025F"/>
    <w:rsid w:val="003202DB"/>
    <w:rsid w:val="00321B68"/>
    <w:rsid w:val="0032215C"/>
    <w:rsid w:val="003270A7"/>
    <w:rsid w:val="00332C5A"/>
    <w:rsid w:val="0033417F"/>
    <w:rsid w:val="0033503C"/>
    <w:rsid w:val="00335B4F"/>
    <w:rsid w:val="00340C11"/>
    <w:rsid w:val="003446CF"/>
    <w:rsid w:val="00345550"/>
    <w:rsid w:val="003566A2"/>
    <w:rsid w:val="00357127"/>
    <w:rsid w:val="00371D2A"/>
    <w:rsid w:val="0037365F"/>
    <w:rsid w:val="0037412A"/>
    <w:rsid w:val="00381136"/>
    <w:rsid w:val="00384CCB"/>
    <w:rsid w:val="003867D1"/>
    <w:rsid w:val="003868A1"/>
    <w:rsid w:val="00393364"/>
    <w:rsid w:val="00394EDB"/>
    <w:rsid w:val="00397600"/>
    <w:rsid w:val="0039791E"/>
    <w:rsid w:val="003A0A47"/>
    <w:rsid w:val="003A199D"/>
    <w:rsid w:val="003A2005"/>
    <w:rsid w:val="003A6143"/>
    <w:rsid w:val="003B1D69"/>
    <w:rsid w:val="003B4A8E"/>
    <w:rsid w:val="003B5356"/>
    <w:rsid w:val="003B73DE"/>
    <w:rsid w:val="003C1D52"/>
    <w:rsid w:val="003C35AB"/>
    <w:rsid w:val="003D2BE0"/>
    <w:rsid w:val="003D3795"/>
    <w:rsid w:val="003E03B1"/>
    <w:rsid w:val="003E2402"/>
    <w:rsid w:val="003E60F4"/>
    <w:rsid w:val="003E658E"/>
    <w:rsid w:val="003E6B78"/>
    <w:rsid w:val="003E736D"/>
    <w:rsid w:val="003F0432"/>
    <w:rsid w:val="003F3637"/>
    <w:rsid w:val="003F3C44"/>
    <w:rsid w:val="003F5BD4"/>
    <w:rsid w:val="003F6600"/>
    <w:rsid w:val="003F7020"/>
    <w:rsid w:val="003F7496"/>
    <w:rsid w:val="003F75E7"/>
    <w:rsid w:val="0040488F"/>
    <w:rsid w:val="0040740F"/>
    <w:rsid w:val="00407519"/>
    <w:rsid w:val="00411E2A"/>
    <w:rsid w:val="00414BA3"/>
    <w:rsid w:val="00416348"/>
    <w:rsid w:val="004167F2"/>
    <w:rsid w:val="004202D4"/>
    <w:rsid w:val="004211B3"/>
    <w:rsid w:val="00424E84"/>
    <w:rsid w:val="00430DBD"/>
    <w:rsid w:val="0043122C"/>
    <w:rsid w:val="00432B28"/>
    <w:rsid w:val="00434661"/>
    <w:rsid w:val="00436924"/>
    <w:rsid w:val="00436F6F"/>
    <w:rsid w:val="00443D26"/>
    <w:rsid w:val="00445DC9"/>
    <w:rsid w:val="00446BCB"/>
    <w:rsid w:val="00451A9B"/>
    <w:rsid w:val="00452894"/>
    <w:rsid w:val="00453641"/>
    <w:rsid w:val="00455E0C"/>
    <w:rsid w:val="00460205"/>
    <w:rsid w:val="004610E0"/>
    <w:rsid w:val="00463854"/>
    <w:rsid w:val="00465773"/>
    <w:rsid w:val="00465DA5"/>
    <w:rsid w:val="004671B1"/>
    <w:rsid w:val="00467DEC"/>
    <w:rsid w:val="0047017E"/>
    <w:rsid w:val="004768B2"/>
    <w:rsid w:val="004809F5"/>
    <w:rsid w:val="00481754"/>
    <w:rsid w:val="00481A22"/>
    <w:rsid w:val="00490B2D"/>
    <w:rsid w:val="0049434F"/>
    <w:rsid w:val="00495766"/>
    <w:rsid w:val="004A1AE7"/>
    <w:rsid w:val="004A75F6"/>
    <w:rsid w:val="004A7765"/>
    <w:rsid w:val="004B1411"/>
    <w:rsid w:val="004B5CAB"/>
    <w:rsid w:val="004B6236"/>
    <w:rsid w:val="004C6572"/>
    <w:rsid w:val="004D42C7"/>
    <w:rsid w:val="004D49AF"/>
    <w:rsid w:val="004E03F1"/>
    <w:rsid w:val="004E1760"/>
    <w:rsid w:val="004E7FE1"/>
    <w:rsid w:val="004F0F1A"/>
    <w:rsid w:val="004F5B63"/>
    <w:rsid w:val="005031AD"/>
    <w:rsid w:val="00503EEC"/>
    <w:rsid w:val="0050436E"/>
    <w:rsid w:val="00512DB1"/>
    <w:rsid w:val="00514589"/>
    <w:rsid w:val="00515C7E"/>
    <w:rsid w:val="00517B15"/>
    <w:rsid w:val="005250F4"/>
    <w:rsid w:val="00526352"/>
    <w:rsid w:val="00530850"/>
    <w:rsid w:val="0053173B"/>
    <w:rsid w:val="005322C6"/>
    <w:rsid w:val="005326B0"/>
    <w:rsid w:val="00532BFA"/>
    <w:rsid w:val="00534618"/>
    <w:rsid w:val="0053484E"/>
    <w:rsid w:val="0053643D"/>
    <w:rsid w:val="00540FD8"/>
    <w:rsid w:val="005428D0"/>
    <w:rsid w:val="00543472"/>
    <w:rsid w:val="00553259"/>
    <w:rsid w:val="00553970"/>
    <w:rsid w:val="00555BF0"/>
    <w:rsid w:val="00557213"/>
    <w:rsid w:val="00561696"/>
    <w:rsid w:val="00562F9D"/>
    <w:rsid w:val="00566FFC"/>
    <w:rsid w:val="005734DA"/>
    <w:rsid w:val="00584172"/>
    <w:rsid w:val="00585235"/>
    <w:rsid w:val="00586AEA"/>
    <w:rsid w:val="0059207B"/>
    <w:rsid w:val="005A15A9"/>
    <w:rsid w:val="005A262F"/>
    <w:rsid w:val="005A51CD"/>
    <w:rsid w:val="005B3BBC"/>
    <w:rsid w:val="005B5D7F"/>
    <w:rsid w:val="005B64FC"/>
    <w:rsid w:val="005C3C5C"/>
    <w:rsid w:val="005C64AF"/>
    <w:rsid w:val="005D11D5"/>
    <w:rsid w:val="005D2297"/>
    <w:rsid w:val="005D3C59"/>
    <w:rsid w:val="005D68A8"/>
    <w:rsid w:val="005D72D1"/>
    <w:rsid w:val="005E5448"/>
    <w:rsid w:val="005E717C"/>
    <w:rsid w:val="005F0572"/>
    <w:rsid w:val="005F43E1"/>
    <w:rsid w:val="00600233"/>
    <w:rsid w:val="0060084D"/>
    <w:rsid w:val="00603054"/>
    <w:rsid w:val="00603B75"/>
    <w:rsid w:val="006040D0"/>
    <w:rsid w:val="00606BE2"/>
    <w:rsid w:val="00612B6C"/>
    <w:rsid w:val="00612BA6"/>
    <w:rsid w:val="006135EC"/>
    <w:rsid w:val="00622893"/>
    <w:rsid w:val="00624DD9"/>
    <w:rsid w:val="00625BBD"/>
    <w:rsid w:val="006277CA"/>
    <w:rsid w:val="00627C63"/>
    <w:rsid w:val="00633ADE"/>
    <w:rsid w:val="00633E97"/>
    <w:rsid w:val="00634EDC"/>
    <w:rsid w:val="006375CB"/>
    <w:rsid w:val="0064574B"/>
    <w:rsid w:val="00652BE5"/>
    <w:rsid w:val="00653739"/>
    <w:rsid w:val="00653D28"/>
    <w:rsid w:val="0066286C"/>
    <w:rsid w:val="00664145"/>
    <w:rsid w:val="0066781C"/>
    <w:rsid w:val="0067155C"/>
    <w:rsid w:val="006724F5"/>
    <w:rsid w:val="00674750"/>
    <w:rsid w:val="00675CD5"/>
    <w:rsid w:val="006810D5"/>
    <w:rsid w:val="00681AF6"/>
    <w:rsid w:val="00681F19"/>
    <w:rsid w:val="00685F21"/>
    <w:rsid w:val="00686226"/>
    <w:rsid w:val="00687683"/>
    <w:rsid w:val="006963CF"/>
    <w:rsid w:val="006A0876"/>
    <w:rsid w:val="006A16D3"/>
    <w:rsid w:val="006A1B50"/>
    <w:rsid w:val="006A4C7D"/>
    <w:rsid w:val="006A5322"/>
    <w:rsid w:val="006A65EA"/>
    <w:rsid w:val="006A7927"/>
    <w:rsid w:val="006B103A"/>
    <w:rsid w:val="006B1437"/>
    <w:rsid w:val="006B1AB7"/>
    <w:rsid w:val="006B30FA"/>
    <w:rsid w:val="006B7DC2"/>
    <w:rsid w:val="006C078A"/>
    <w:rsid w:val="006C28C4"/>
    <w:rsid w:val="006C47B0"/>
    <w:rsid w:val="006C4F1C"/>
    <w:rsid w:val="006D0039"/>
    <w:rsid w:val="006D1160"/>
    <w:rsid w:val="006D1432"/>
    <w:rsid w:val="006D2F08"/>
    <w:rsid w:val="006D365C"/>
    <w:rsid w:val="006D3AD0"/>
    <w:rsid w:val="006D5652"/>
    <w:rsid w:val="006E0E08"/>
    <w:rsid w:val="006E7C69"/>
    <w:rsid w:val="006F08CB"/>
    <w:rsid w:val="006F6A3D"/>
    <w:rsid w:val="00700512"/>
    <w:rsid w:val="00702992"/>
    <w:rsid w:val="00702DF9"/>
    <w:rsid w:val="007043CD"/>
    <w:rsid w:val="007105C9"/>
    <w:rsid w:val="00710B93"/>
    <w:rsid w:val="0071121F"/>
    <w:rsid w:val="00713442"/>
    <w:rsid w:val="00714F54"/>
    <w:rsid w:val="007160B5"/>
    <w:rsid w:val="0071761C"/>
    <w:rsid w:val="00720F02"/>
    <w:rsid w:val="0072358D"/>
    <w:rsid w:val="00723F69"/>
    <w:rsid w:val="00726B06"/>
    <w:rsid w:val="007306C4"/>
    <w:rsid w:val="0073326D"/>
    <w:rsid w:val="007418F6"/>
    <w:rsid w:val="00746C7A"/>
    <w:rsid w:val="007507A9"/>
    <w:rsid w:val="0075091C"/>
    <w:rsid w:val="00751D44"/>
    <w:rsid w:val="007533C1"/>
    <w:rsid w:val="00754AD6"/>
    <w:rsid w:val="00761797"/>
    <w:rsid w:val="00761A09"/>
    <w:rsid w:val="007664B5"/>
    <w:rsid w:val="00774DF1"/>
    <w:rsid w:val="007752DB"/>
    <w:rsid w:val="00782C12"/>
    <w:rsid w:val="007841FD"/>
    <w:rsid w:val="0078625C"/>
    <w:rsid w:val="00792E0F"/>
    <w:rsid w:val="00793516"/>
    <w:rsid w:val="007971AE"/>
    <w:rsid w:val="007A054D"/>
    <w:rsid w:val="007A0EA6"/>
    <w:rsid w:val="007B3909"/>
    <w:rsid w:val="007C0463"/>
    <w:rsid w:val="007D5BDC"/>
    <w:rsid w:val="007D63FA"/>
    <w:rsid w:val="007E128B"/>
    <w:rsid w:val="007E15CE"/>
    <w:rsid w:val="007E5607"/>
    <w:rsid w:val="007E698F"/>
    <w:rsid w:val="007F1B26"/>
    <w:rsid w:val="007F2C6F"/>
    <w:rsid w:val="007F3126"/>
    <w:rsid w:val="007F60E0"/>
    <w:rsid w:val="00802440"/>
    <w:rsid w:val="00803E23"/>
    <w:rsid w:val="00804EA8"/>
    <w:rsid w:val="0080728F"/>
    <w:rsid w:val="00816AD0"/>
    <w:rsid w:val="00824E3A"/>
    <w:rsid w:val="00825C8C"/>
    <w:rsid w:val="008306EC"/>
    <w:rsid w:val="00833E3A"/>
    <w:rsid w:val="00834758"/>
    <w:rsid w:val="00835371"/>
    <w:rsid w:val="008353AA"/>
    <w:rsid w:val="0083576B"/>
    <w:rsid w:val="00844C41"/>
    <w:rsid w:val="00845A44"/>
    <w:rsid w:val="00845E17"/>
    <w:rsid w:val="00846E57"/>
    <w:rsid w:val="00851ECA"/>
    <w:rsid w:val="00852AF1"/>
    <w:rsid w:val="008532E3"/>
    <w:rsid w:val="00854385"/>
    <w:rsid w:val="00854AC7"/>
    <w:rsid w:val="00863D25"/>
    <w:rsid w:val="00864CAF"/>
    <w:rsid w:val="00865135"/>
    <w:rsid w:val="0086785A"/>
    <w:rsid w:val="00867D58"/>
    <w:rsid w:val="008720E2"/>
    <w:rsid w:val="00881C37"/>
    <w:rsid w:val="00882230"/>
    <w:rsid w:val="00882FA6"/>
    <w:rsid w:val="00883DD1"/>
    <w:rsid w:val="008872DE"/>
    <w:rsid w:val="008904A4"/>
    <w:rsid w:val="00890855"/>
    <w:rsid w:val="008909BB"/>
    <w:rsid w:val="00892715"/>
    <w:rsid w:val="00895C5C"/>
    <w:rsid w:val="0089703D"/>
    <w:rsid w:val="008A632A"/>
    <w:rsid w:val="008A6B60"/>
    <w:rsid w:val="008B0C0E"/>
    <w:rsid w:val="008B12D6"/>
    <w:rsid w:val="008B527A"/>
    <w:rsid w:val="008C2037"/>
    <w:rsid w:val="008C5B68"/>
    <w:rsid w:val="008D097B"/>
    <w:rsid w:val="008D379F"/>
    <w:rsid w:val="008D5364"/>
    <w:rsid w:val="008E29F7"/>
    <w:rsid w:val="008E4E7F"/>
    <w:rsid w:val="008E6906"/>
    <w:rsid w:val="008E78D3"/>
    <w:rsid w:val="008F33C5"/>
    <w:rsid w:val="00900AB8"/>
    <w:rsid w:val="00910725"/>
    <w:rsid w:val="00916342"/>
    <w:rsid w:val="00917988"/>
    <w:rsid w:val="009211ED"/>
    <w:rsid w:val="00922F44"/>
    <w:rsid w:val="00923805"/>
    <w:rsid w:val="00925C8D"/>
    <w:rsid w:val="00927CCA"/>
    <w:rsid w:val="009315BF"/>
    <w:rsid w:val="00931AB6"/>
    <w:rsid w:val="009331AE"/>
    <w:rsid w:val="00936348"/>
    <w:rsid w:val="0093688A"/>
    <w:rsid w:val="0094103B"/>
    <w:rsid w:val="00941CA7"/>
    <w:rsid w:val="00942587"/>
    <w:rsid w:val="0094369A"/>
    <w:rsid w:val="0094387D"/>
    <w:rsid w:val="00944E6E"/>
    <w:rsid w:val="00952E69"/>
    <w:rsid w:val="00956216"/>
    <w:rsid w:val="00957CE7"/>
    <w:rsid w:val="00960BD1"/>
    <w:rsid w:val="009624BC"/>
    <w:rsid w:val="0096265F"/>
    <w:rsid w:val="0096609B"/>
    <w:rsid w:val="00973E6E"/>
    <w:rsid w:val="00976DB5"/>
    <w:rsid w:val="009879AC"/>
    <w:rsid w:val="009933E8"/>
    <w:rsid w:val="00994A1E"/>
    <w:rsid w:val="00994C37"/>
    <w:rsid w:val="0099543B"/>
    <w:rsid w:val="00996B3F"/>
    <w:rsid w:val="009A77C4"/>
    <w:rsid w:val="009B0486"/>
    <w:rsid w:val="009B44E3"/>
    <w:rsid w:val="009C0352"/>
    <w:rsid w:val="009C2BFF"/>
    <w:rsid w:val="009C326D"/>
    <w:rsid w:val="009C549C"/>
    <w:rsid w:val="009D0921"/>
    <w:rsid w:val="009D1F39"/>
    <w:rsid w:val="009D3CDD"/>
    <w:rsid w:val="009D7D19"/>
    <w:rsid w:val="009E5B07"/>
    <w:rsid w:val="009F05D5"/>
    <w:rsid w:val="009F5CBC"/>
    <w:rsid w:val="00A003B6"/>
    <w:rsid w:val="00A00F59"/>
    <w:rsid w:val="00A01818"/>
    <w:rsid w:val="00A01D8F"/>
    <w:rsid w:val="00A043BD"/>
    <w:rsid w:val="00A100A8"/>
    <w:rsid w:val="00A113B8"/>
    <w:rsid w:val="00A12FE2"/>
    <w:rsid w:val="00A142C9"/>
    <w:rsid w:val="00A14A29"/>
    <w:rsid w:val="00A16C4C"/>
    <w:rsid w:val="00A26474"/>
    <w:rsid w:val="00A313CA"/>
    <w:rsid w:val="00A347BE"/>
    <w:rsid w:val="00A41C1E"/>
    <w:rsid w:val="00A422F8"/>
    <w:rsid w:val="00A434F1"/>
    <w:rsid w:val="00A473A7"/>
    <w:rsid w:val="00A51144"/>
    <w:rsid w:val="00A55837"/>
    <w:rsid w:val="00A561E8"/>
    <w:rsid w:val="00A56B56"/>
    <w:rsid w:val="00A61F0A"/>
    <w:rsid w:val="00A62EFA"/>
    <w:rsid w:val="00A63964"/>
    <w:rsid w:val="00A711A8"/>
    <w:rsid w:val="00A73B5F"/>
    <w:rsid w:val="00A8099B"/>
    <w:rsid w:val="00A83844"/>
    <w:rsid w:val="00A97DD4"/>
    <w:rsid w:val="00AA058A"/>
    <w:rsid w:val="00AA0FE3"/>
    <w:rsid w:val="00AA6FE6"/>
    <w:rsid w:val="00AA709A"/>
    <w:rsid w:val="00AB0184"/>
    <w:rsid w:val="00AB4242"/>
    <w:rsid w:val="00AB42E9"/>
    <w:rsid w:val="00AB4969"/>
    <w:rsid w:val="00AB49E8"/>
    <w:rsid w:val="00AB51CE"/>
    <w:rsid w:val="00AB5BA1"/>
    <w:rsid w:val="00AB7321"/>
    <w:rsid w:val="00AC7627"/>
    <w:rsid w:val="00AD3311"/>
    <w:rsid w:val="00AD434B"/>
    <w:rsid w:val="00AE0AE2"/>
    <w:rsid w:val="00AE1618"/>
    <w:rsid w:val="00AE219B"/>
    <w:rsid w:val="00AE31AC"/>
    <w:rsid w:val="00AE39FA"/>
    <w:rsid w:val="00AF6BD9"/>
    <w:rsid w:val="00B00016"/>
    <w:rsid w:val="00B00A1E"/>
    <w:rsid w:val="00B149FD"/>
    <w:rsid w:val="00B2364C"/>
    <w:rsid w:val="00B23ACA"/>
    <w:rsid w:val="00B23CEB"/>
    <w:rsid w:val="00B27B86"/>
    <w:rsid w:val="00B30B0A"/>
    <w:rsid w:val="00B33ADE"/>
    <w:rsid w:val="00B427BD"/>
    <w:rsid w:val="00B42AE8"/>
    <w:rsid w:val="00B44357"/>
    <w:rsid w:val="00B45BE2"/>
    <w:rsid w:val="00B54B76"/>
    <w:rsid w:val="00B553C2"/>
    <w:rsid w:val="00B60DEC"/>
    <w:rsid w:val="00B6120A"/>
    <w:rsid w:val="00B61743"/>
    <w:rsid w:val="00B64937"/>
    <w:rsid w:val="00B66EC0"/>
    <w:rsid w:val="00B7318C"/>
    <w:rsid w:val="00B747E7"/>
    <w:rsid w:val="00B809FC"/>
    <w:rsid w:val="00B82348"/>
    <w:rsid w:val="00B83751"/>
    <w:rsid w:val="00B858FF"/>
    <w:rsid w:val="00B85FF1"/>
    <w:rsid w:val="00B868B5"/>
    <w:rsid w:val="00B9352D"/>
    <w:rsid w:val="00B97488"/>
    <w:rsid w:val="00B97E0A"/>
    <w:rsid w:val="00BA1063"/>
    <w:rsid w:val="00BA4497"/>
    <w:rsid w:val="00BA56B2"/>
    <w:rsid w:val="00BA75A8"/>
    <w:rsid w:val="00BA7940"/>
    <w:rsid w:val="00BB2C0A"/>
    <w:rsid w:val="00BB66F6"/>
    <w:rsid w:val="00BC0DD0"/>
    <w:rsid w:val="00BC2E20"/>
    <w:rsid w:val="00BC3313"/>
    <w:rsid w:val="00BC4947"/>
    <w:rsid w:val="00BC553A"/>
    <w:rsid w:val="00BE428E"/>
    <w:rsid w:val="00BE4A01"/>
    <w:rsid w:val="00BE4BAD"/>
    <w:rsid w:val="00BE4DEF"/>
    <w:rsid w:val="00BE55D8"/>
    <w:rsid w:val="00BE7586"/>
    <w:rsid w:val="00BE7E64"/>
    <w:rsid w:val="00BF6720"/>
    <w:rsid w:val="00C10162"/>
    <w:rsid w:val="00C13FF6"/>
    <w:rsid w:val="00C155F7"/>
    <w:rsid w:val="00C15BBD"/>
    <w:rsid w:val="00C1641C"/>
    <w:rsid w:val="00C1707B"/>
    <w:rsid w:val="00C2345C"/>
    <w:rsid w:val="00C2477F"/>
    <w:rsid w:val="00C24F4C"/>
    <w:rsid w:val="00C307D3"/>
    <w:rsid w:val="00C3084E"/>
    <w:rsid w:val="00C37923"/>
    <w:rsid w:val="00C40F05"/>
    <w:rsid w:val="00C444AB"/>
    <w:rsid w:val="00C46B58"/>
    <w:rsid w:val="00C50CF0"/>
    <w:rsid w:val="00C54298"/>
    <w:rsid w:val="00C6119A"/>
    <w:rsid w:val="00C64CB1"/>
    <w:rsid w:val="00C65FB1"/>
    <w:rsid w:val="00C67295"/>
    <w:rsid w:val="00C707FD"/>
    <w:rsid w:val="00C722C2"/>
    <w:rsid w:val="00C7563F"/>
    <w:rsid w:val="00C7619C"/>
    <w:rsid w:val="00C860DC"/>
    <w:rsid w:val="00C937DA"/>
    <w:rsid w:val="00CA030A"/>
    <w:rsid w:val="00CA0C25"/>
    <w:rsid w:val="00CA0FF5"/>
    <w:rsid w:val="00CA4AC5"/>
    <w:rsid w:val="00CA4F55"/>
    <w:rsid w:val="00CA5F6E"/>
    <w:rsid w:val="00CB1801"/>
    <w:rsid w:val="00CB6AF1"/>
    <w:rsid w:val="00CB7BFD"/>
    <w:rsid w:val="00CC4ADD"/>
    <w:rsid w:val="00CD0751"/>
    <w:rsid w:val="00CD180D"/>
    <w:rsid w:val="00CD3CEA"/>
    <w:rsid w:val="00CD4F6B"/>
    <w:rsid w:val="00CE2063"/>
    <w:rsid w:val="00CE33F6"/>
    <w:rsid w:val="00CE7BE6"/>
    <w:rsid w:val="00CF021C"/>
    <w:rsid w:val="00CF210A"/>
    <w:rsid w:val="00CF453F"/>
    <w:rsid w:val="00CF4AC0"/>
    <w:rsid w:val="00CF5E91"/>
    <w:rsid w:val="00CF7E52"/>
    <w:rsid w:val="00CF7F22"/>
    <w:rsid w:val="00D002D0"/>
    <w:rsid w:val="00D02446"/>
    <w:rsid w:val="00D028E2"/>
    <w:rsid w:val="00D04185"/>
    <w:rsid w:val="00D0465E"/>
    <w:rsid w:val="00D14951"/>
    <w:rsid w:val="00D14D87"/>
    <w:rsid w:val="00D20F10"/>
    <w:rsid w:val="00D2127E"/>
    <w:rsid w:val="00D21BDC"/>
    <w:rsid w:val="00D252D6"/>
    <w:rsid w:val="00D329C5"/>
    <w:rsid w:val="00D3322B"/>
    <w:rsid w:val="00D36409"/>
    <w:rsid w:val="00D367B0"/>
    <w:rsid w:val="00D3687F"/>
    <w:rsid w:val="00D369DF"/>
    <w:rsid w:val="00D36E4C"/>
    <w:rsid w:val="00D464AA"/>
    <w:rsid w:val="00D471E1"/>
    <w:rsid w:val="00D51AFC"/>
    <w:rsid w:val="00D5498A"/>
    <w:rsid w:val="00D5795A"/>
    <w:rsid w:val="00D60264"/>
    <w:rsid w:val="00D61851"/>
    <w:rsid w:val="00D63619"/>
    <w:rsid w:val="00D751F8"/>
    <w:rsid w:val="00D75D53"/>
    <w:rsid w:val="00D767C2"/>
    <w:rsid w:val="00D82431"/>
    <w:rsid w:val="00D84484"/>
    <w:rsid w:val="00D855D9"/>
    <w:rsid w:val="00D85AA1"/>
    <w:rsid w:val="00D85E27"/>
    <w:rsid w:val="00D8769F"/>
    <w:rsid w:val="00D90DDD"/>
    <w:rsid w:val="00D91AEC"/>
    <w:rsid w:val="00D922F9"/>
    <w:rsid w:val="00D97EF0"/>
    <w:rsid w:val="00DA05B7"/>
    <w:rsid w:val="00DA2094"/>
    <w:rsid w:val="00DA74BF"/>
    <w:rsid w:val="00DB1236"/>
    <w:rsid w:val="00DB4001"/>
    <w:rsid w:val="00DB4313"/>
    <w:rsid w:val="00DB6648"/>
    <w:rsid w:val="00DB6B2B"/>
    <w:rsid w:val="00DB7481"/>
    <w:rsid w:val="00DB7511"/>
    <w:rsid w:val="00DC0465"/>
    <w:rsid w:val="00DC056A"/>
    <w:rsid w:val="00DC30BD"/>
    <w:rsid w:val="00DC44BB"/>
    <w:rsid w:val="00DC4A84"/>
    <w:rsid w:val="00DC672B"/>
    <w:rsid w:val="00DD5169"/>
    <w:rsid w:val="00DE0C88"/>
    <w:rsid w:val="00DE12F8"/>
    <w:rsid w:val="00DE1FB2"/>
    <w:rsid w:val="00DE32E8"/>
    <w:rsid w:val="00DE734C"/>
    <w:rsid w:val="00DF45E7"/>
    <w:rsid w:val="00DF7F36"/>
    <w:rsid w:val="00E004B0"/>
    <w:rsid w:val="00E01D1B"/>
    <w:rsid w:val="00E04A13"/>
    <w:rsid w:val="00E063A2"/>
    <w:rsid w:val="00E11F19"/>
    <w:rsid w:val="00E1713D"/>
    <w:rsid w:val="00E21832"/>
    <w:rsid w:val="00E25B80"/>
    <w:rsid w:val="00E26AEA"/>
    <w:rsid w:val="00E26BD2"/>
    <w:rsid w:val="00E32E4B"/>
    <w:rsid w:val="00E357DE"/>
    <w:rsid w:val="00E362BE"/>
    <w:rsid w:val="00E37189"/>
    <w:rsid w:val="00E416CF"/>
    <w:rsid w:val="00E41820"/>
    <w:rsid w:val="00E429E2"/>
    <w:rsid w:val="00E43F69"/>
    <w:rsid w:val="00E444DD"/>
    <w:rsid w:val="00E50E67"/>
    <w:rsid w:val="00E54E34"/>
    <w:rsid w:val="00E605EB"/>
    <w:rsid w:val="00E61CED"/>
    <w:rsid w:val="00E621F0"/>
    <w:rsid w:val="00E630D3"/>
    <w:rsid w:val="00E6399B"/>
    <w:rsid w:val="00E6440D"/>
    <w:rsid w:val="00E64ABE"/>
    <w:rsid w:val="00E703DC"/>
    <w:rsid w:val="00E7228B"/>
    <w:rsid w:val="00E72B86"/>
    <w:rsid w:val="00E73BD8"/>
    <w:rsid w:val="00E75838"/>
    <w:rsid w:val="00E836DD"/>
    <w:rsid w:val="00E843FC"/>
    <w:rsid w:val="00E8484A"/>
    <w:rsid w:val="00E85389"/>
    <w:rsid w:val="00E910BF"/>
    <w:rsid w:val="00E924F0"/>
    <w:rsid w:val="00E934E5"/>
    <w:rsid w:val="00E93DB5"/>
    <w:rsid w:val="00EA020F"/>
    <w:rsid w:val="00EA1A0D"/>
    <w:rsid w:val="00EA2D63"/>
    <w:rsid w:val="00EA49C1"/>
    <w:rsid w:val="00EB420C"/>
    <w:rsid w:val="00EB4DBA"/>
    <w:rsid w:val="00EB4F82"/>
    <w:rsid w:val="00EB6FDD"/>
    <w:rsid w:val="00EB7059"/>
    <w:rsid w:val="00EB72A2"/>
    <w:rsid w:val="00EC4A6D"/>
    <w:rsid w:val="00EC6555"/>
    <w:rsid w:val="00EC6948"/>
    <w:rsid w:val="00EC7765"/>
    <w:rsid w:val="00ED0CCC"/>
    <w:rsid w:val="00ED18B3"/>
    <w:rsid w:val="00ED1B29"/>
    <w:rsid w:val="00ED3B48"/>
    <w:rsid w:val="00ED4642"/>
    <w:rsid w:val="00ED7545"/>
    <w:rsid w:val="00ED7802"/>
    <w:rsid w:val="00EE0FA6"/>
    <w:rsid w:val="00EE1C2B"/>
    <w:rsid w:val="00EE246D"/>
    <w:rsid w:val="00EE30E1"/>
    <w:rsid w:val="00EE3620"/>
    <w:rsid w:val="00EE3907"/>
    <w:rsid w:val="00EE48FE"/>
    <w:rsid w:val="00EE4BFB"/>
    <w:rsid w:val="00EE619C"/>
    <w:rsid w:val="00EE795B"/>
    <w:rsid w:val="00EE7F6B"/>
    <w:rsid w:val="00EF4202"/>
    <w:rsid w:val="00EF5296"/>
    <w:rsid w:val="00EF547B"/>
    <w:rsid w:val="00EF77AA"/>
    <w:rsid w:val="00F0263E"/>
    <w:rsid w:val="00F03F44"/>
    <w:rsid w:val="00F045A1"/>
    <w:rsid w:val="00F0573F"/>
    <w:rsid w:val="00F061FD"/>
    <w:rsid w:val="00F069DF"/>
    <w:rsid w:val="00F11191"/>
    <w:rsid w:val="00F12149"/>
    <w:rsid w:val="00F1260A"/>
    <w:rsid w:val="00F15A9E"/>
    <w:rsid w:val="00F16944"/>
    <w:rsid w:val="00F20614"/>
    <w:rsid w:val="00F20913"/>
    <w:rsid w:val="00F20983"/>
    <w:rsid w:val="00F242A9"/>
    <w:rsid w:val="00F26611"/>
    <w:rsid w:val="00F26889"/>
    <w:rsid w:val="00F26FDF"/>
    <w:rsid w:val="00F33CCB"/>
    <w:rsid w:val="00F33DD2"/>
    <w:rsid w:val="00F34D31"/>
    <w:rsid w:val="00F40022"/>
    <w:rsid w:val="00F42B44"/>
    <w:rsid w:val="00F439E2"/>
    <w:rsid w:val="00F46F5F"/>
    <w:rsid w:val="00F509DE"/>
    <w:rsid w:val="00F52043"/>
    <w:rsid w:val="00F55CC5"/>
    <w:rsid w:val="00F60607"/>
    <w:rsid w:val="00F60E87"/>
    <w:rsid w:val="00F627FE"/>
    <w:rsid w:val="00F62D3E"/>
    <w:rsid w:val="00F63229"/>
    <w:rsid w:val="00F64F14"/>
    <w:rsid w:val="00F669DA"/>
    <w:rsid w:val="00F712FA"/>
    <w:rsid w:val="00F726DE"/>
    <w:rsid w:val="00F75653"/>
    <w:rsid w:val="00F768F6"/>
    <w:rsid w:val="00F84E23"/>
    <w:rsid w:val="00F92F04"/>
    <w:rsid w:val="00F93DC7"/>
    <w:rsid w:val="00F93EDA"/>
    <w:rsid w:val="00F954D0"/>
    <w:rsid w:val="00FA1EE5"/>
    <w:rsid w:val="00FA6429"/>
    <w:rsid w:val="00FA6F3B"/>
    <w:rsid w:val="00FB1D9B"/>
    <w:rsid w:val="00FB41C6"/>
    <w:rsid w:val="00FB42C4"/>
    <w:rsid w:val="00FB6472"/>
    <w:rsid w:val="00FC0B2D"/>
    <w:rsid w:val="00FC1AC0"/>
    <w:rsid w:val="00FC59FA"/>
    <w:rsid w:val="00FC5EB9"/>
    <w:rsid w:val="00FD0853"/>
    <w:rsid w:val="00FD529A"/>
    <w:rsid w:val="00FD5BBE"/>
    <w:rsid w:val="00FD6E53"/>
    <w:rsid w:val="00FE0421"/>
    <w:rsid w:val="00FE0DA8"/>
    <w:rsid w:val="00FE118E"/>
    <w:rsid w:val="00FE21FB"/>
    <w:rsid w:val="00FE248F"/>
    <w:rsid w:val="00FE5F3D"/>
    <w:rsid w:val="00FE7904"/>
    <w:rsid w:val="00FF3952"/>
    <w:rsid w:val="00FF3BA7"/>
    <w:rsid w:val="00FF4A48"/>
    <w:rsid w:val="3B03E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3AFCF"/>
  <w15:chartTrackingRefBased/>
  <w15:docId w15:val="{8CFBAF91-8E6D-4743-B1AB-E94970668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497"/>
    <w:pPr>
      <w:spacing w:after="0" w:line="240" w:lineRule="auto"/>
    </w:pPr>
    <w:rPr>
      <w:rFonts w:ascii="Times New Roman" w:hAnsi="Times New Roman"/>
    </w:rPr>
  </w:style>
  <w:style w:type="paragraph" w:styleId="Heading1">
    <w:name w:val="heading 1"/>
    <w:basedOn w:val="Heading"/>
    <w:next w:val="Body1"/>
    <w:link w:val="Heading1Char"/>
    <w:uiPriority w:val="9"/>
    <w:qFormat/>
    <w:rsid w:val="00245F70"/>
    <w:pPr>
      <w:numPr>
        <w:numId w:val="4"/>
      </w:numPr>
      <w:spacing w:before="240" w:after="120"/>
      <w:jc w:val="left"/>
      <w:outlineLvl w:val="0"/>
    </w:pPr>
    <w:rPr>
      <w:caps/>
      <w:spacing w:val="6"/>
      <w:szCs w:val="22"/>
    </w:rPr>
  </w:style>
  <w:style w:type="paragraph" w:styleId="Heading2">
    <w:name w:val="heading 2"/>
    <w:basedOn w:val="Heading"/>
    <w:next w:val="Body2"/>
    <w:link w:val="Heading2Char"/>
    <w:uiPriority w:val="9"/>
    <w:unhideWhenUsed/>
    <w:qFormat/>
    <w:rsid w:val="00F63229"/>
    <w:pPr>
      <w:numPr>
        <w:ilvl w:val="1"/>
        <w:numId w:val="4"/>
      </w:numPr>
      <w:pBdr>
        <w:bottom w:val="single" w:sz="6" w:space="1" w:color="auto"/>
      </w:pBdr>
      <w:tabs>
        <w:tab w:val="clear" w:pos="7542"/>
        <w:tab w:val="left" w:pos="540"/>
      </w:tabs>
      <w:spacing w:before="120" w:after="60"/>
      <w:ind w:left="540" w:hanging="540"/>
      <w:jc w:val="left"/>
      <w:outlineLvl w:val="1"/>
    </w:pPr>
  </w:style>
  <w:style w:type="paragraph" w:styleId="Heading3">
    <w:name w:val="heading 3"/>
    <w:basedOn w:val="Heading"/>
    <w:next w:val="Body3"/>
    <w:link w:val="Heading3Char"/>
    <w:uiPriority w:val="9"/>
    <w:unhideWhenUsed/>
    <w:qFormat/>
    <w:rsid w:val="006810D5"/>
    <w:pPr>
      <w:numPr>
        <w:ilvl w:val="2"/>
        <w:numId w:val="4"/>
      </w:numPr>
      <w:pBdr>
        <w:bottom w:val="single" w:sz="6" w:space="1" w:color="auto"/>
      </w:pBdr>
      <w:tabs>
        <w:tab w:val="clear" w:pos="7470"/>
        <w:tab w:val="left" w:pos="1008"/>
      </w:tabs>
      <w:spacing w:before="120" w:after="60"/>
      <w:ind w:left="1008"/>
      <w:jc w:val="left"/>
      <w:outlineLvl w:val="2"/>
    </w:pPr>
    <w:rPr>
      <w:color w:val="404040" w:themeColor="text1" w:themeTint="BF"/>
    </w:rPr>
  </w:style>
  <w:style w:type="paragraph" w:styleId="Heading4">
    <w:name w:val="heading 4"/>
    <w:basedOn w:val="Heading"/>
    <w:next w:val="Body4"/>
    <w:link w:val="Heading4Char"/>
    <w:uiPriority w:val="9"/>
    <w:unhideWhenUsed/>
    <w:qFormat/>
    <w:rsid w:val="00854385"/>
    <w:pPr>
      <w:numPr>
        <w:ilvl w:val="3"/>
        <w:numId w:val="4"/>
      </w:numPr>
      <w:tabs>
        <w:tab w:val="clear" w:pos="1440"/>
        <w:tab w:val="num" w:pos="990"/>
      </w:tabs>
      <w:spacing w:before="40" w:after="40"/>
      <w:ind w:left="990" w:hanging="720"/>
      <w:jc w:val="left"/>
      <w:outlineLvl w:val="3"/>
    </w:pPr>
    <w:rPr>
      <w:szCs w:val="22"/>
    </w:rPr>
  </w:style>
  <w:style w:type="paragraph" w:styleId="Heading5">
    <w:name w:val="heading 5"/>
    <w:basedOn w:val="Heading"/>
    <w:next w:val="Body5"/>
    <w:link w:val="Heading5Char"/>
    <w:uiPriority w:val="9"/>
    <w:unhideWhenUsed/>
    <w:qFormat/>
    <w:rsid w:val="00467DEC"/>
    <w:pPr>
      <w:pBdr>
        <w:bottom w:val="dotted" w:sz="4" w:space="1" w:color="auto"/>
      </w:pBdr>
      <w:spacing w:before="40" w:after="40"/>
      <w:outlineLvl w:val="4"/>
    </w:pPr>
    <w:rPr>
      <w:b w:val="0"/>
      <w:i/>
      <w:color w:val="17365D" w:themeColor="text2" w:themeShade="BF"/>
      <w:sz w:val="20"/>
    </w:rPr>
  </w:style>
  <w:style w:type="paragraph" w:styleId="Heading6">
    <w:name w:val="heading 6"/>
    <w:basedOn w:val="Heading"/>
    <w:next w:val="Body6"/>
    <w:link w:val="Heading6Char"/>
    <w:uiPriority w:val="9"/>
    <w:semiHidden/>
    <w:unhideWhenUsed/>
    <w:qFormat/>
    <w:rsid w:val="00467DEC"/>
    <w:pPr>
      <w:pBdr>
        <w:bottom w:val="dotted" w:sz="4" w:space="1" w:color="auto"/>
      </w:pBdr>
      <w:spacing w:before="40" w:after="40"/>
      <w:outlineLvl w:val="5"/>
    </w:pPr>
    <w:rPr>
      <w:b w:val="0"/>
      <w:color w:val="000000" w:themeColor="text1"/>
      <w:sz w:val="20"/>
      <w14:textFill>
        <w14:solidFill>
          <w14:schemeClr w14:val="tx1">
            <w14:lumMod w14:val="65000"/>
            <w14:lumOff w14:val="35000"/>
            <w14:lumMod w14:val="75000"/>
            <w14:lumOff w14:val="25000"/>
          </w14:schemeClr>
        </w14:solidFill>
      </w14:textFill>
    </w:rPr>
  </w:style>
  <w:style w:type="paragraph" w:styleId="Heading7">
    <w:name w:val="heading 7"/>
    <w:basedOn w:val="Heading"/>
    <w:next w:val="Body7"/>
    <w:link w:val="Heading7Char"/>
    <w:uiPriority w:val="9"/>
    <w:semiHidden/>
    <w:unhideWhenUsed/>
    <w:qFormat/>
    <w:rsid w:val="00467DEC"/>
    <w:pPr>
      <w:pBdr>
        <w:bottom w:val="dotted" w:sz="4" w:space="1" w:color="auto"/>
      </w:pBdr>
      <w:spacing w:before="40" w:after="40"/>
      <w:outlineLvl w:val="6"/>
    </w:pPr>
    <w:rPr>
      <w:b w:val="0"/>
      <w:color w:val="7F7F7F" w:themeColor="text1" w:themeTint="80"/>
      <w:sz w:val="20"/>
    </w:rPr>
  </w:style>
  <w:style w:type="paragraph" w:styleId="Heading8">
    <w:name w:val="heading 8"/>
    <w:basedOn w:val="Heading"/>
    <w:next w:val="Body8"/>
    <w:link w:val="Heading8Char"/>
    <w:uiPriority w:val="9"/>
    <w:semiHidden/>
    <w:unhideWhenUsed/>
    <w:qFormat/>
    <w:rsid w:val="00467DEC"/>
    <w:pPr>
      <w:pBdr>
        <w:bottom w:val="dotted" w:sz="4" w:space="1" w:color="auto"/>
      </w:pBdr>
      <w:spacing w:before="40" w:after="40"/>
      <w:outlineLvl w:val="7"/>
    </w:pPr>
    <w:rPr>
      <w:b w:val="0"/>
      <w:color w:val="7F7F7F" w:themeColor="text1" w:themeTint="80"/>
      <w:sz w:val="20"/>
    </w:rPr>
  </w:style>
  <w:style w:type="paragraph" w:styleId="Heading9">
    <w:name w:val="heading 9"/>
    <w:basedOn w:val="Heading"/>
    <w:next w:val="Body9"/>
    <w:link w:val="Heading9Char"/>
    <w:uiPriority w:val="9"/>
    <w:semiHidden/>
    <w:unhideWhenUsed/>
    <w:qFormat/>
    <w:rsid w:val="00467DEC"/>
    <w:pPr>
      <w:pBdr>
        <w:bottom w:val="dotted" w:sz="4" w:space="1" w:color="auto"/>
      </w:pBdr>
      <w:spacing w:before="40" w:after="40"/>
      <w:outlineLvl w:val="8"/>
    </w:pPr>
    <w:rPr>
      <w:b w:val="0"/>
      <w:color w:val="7F7F7F" w:themeColor="text1" w:themeTint="8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Heading1"/>
    <w:qFormat/>
    <w:rsid w:val="00E444DD"/>
    <w:pPr>
      <w:keepNext/>
      <w:spacing w:after="240"/>
      <w:jc w:val="center"/>
    </w:pPr>
    <w:rPr>
      <w:rFonts w:eastAsia="SimSun" w:cs="Times New Roman"/>
      <w:b/>
      <w:iCs/>
      <w:szCs w:val="24"/>
    </w:rPr>
  </w:style>
  <w:style w:type="paragraph" w:customStyle="1" w:styleId="Body1">
    <w:name w:val="Body 1"/>
    <w:basedOn w:val="Body"/>
    <w:qFormat/>
    <w:rsid w:val="006B7DC2"/>
    <w:pPr>
      <w:numPr>
        <w:ilvl w:val="1"/>
        <w:numId w:val="2"/>
      </w:numPr>
    </w:pPr>
  </w:style>
  <w:style w:type="paragraph" w:customStyle="1" w:styleId="Body">
    <w:name w:val="Body"/>
    <w:qFormat/>
    <w:rsid w:val="009331AE"/>
    <w:pPr>
      <w:spacing w:after="120" w:line="264" w:lineRule="auto"/>
      <w:jc w:val="both"/>
    </w:pPr>
    <w:rPr>
      <w:rFonts w:ascii="Times New Roman" w:hAnsi="Times New Roman"/>
      <w:color w:val="000000" w:themeColor="text1"/>
      <w:szCs w:val="24"/>
      <w:lang w:bidi="en-US"/>
    </w:rPr>
  </w:style>
  <w:style w:type="character" w:customStyle="1" w:styleId="Heading1Char">
    <w:name w:val="Heading 1 Char"/>
    <w:basedOn w:val="DefaultParagraphFont"/>
    <w:link w:val="Heading1"/>
    <w:uiPriority w:val="9"/>
    <w:rsid w:val="00245F70"/>
    <w:rPr>
      <w:rFonts w:ascii="Times New Roman" w:eastAsia="SimSun" w:hAnsi="Times New Roman" w:cs="Times New Roman"/>
      <w:b/>
      <w:iCs/>
      <w:caps/>
      <w:spacing w:val="6"/>
    </w:rPr>
  </w:style>
  <w:style w:type="paragraph" w:customStyle="1" w:styleId="Body2">
    <w:name w:val="Body 2"/>
    <w:basedOn w:val="Body1"/>
    <w:qFormat/>
    <w:rsid w:val="00C37923"/>
    <w:pPr>
      <w:numPr>
        <w:numId w:val="7"/>
      </w:numPr>
    </w:pPr>
  </w:style>
  <w:style w:type="character" w:customStyle="1" w:styleId="Heading2Char">
    <w:name w:val="Heading 2 Char"/>
    <w:basedOn w:val="DefaultParagraphFont"/>
    <w:link w:val="Heading2"/>
    <w:uiPriority w:val="9"/>
    <w:rsid w:val="00F63229"/>
    <w:rPr>
      <w:rFonts w:ascii="Times New Roman" w:eastAsia="SimSun" w:hAnsi="Times New Roman" w:cs="Times New Roman"/>
      <w:b/>
      <w:iCs/>
      <w:szCs w:val="24"/>
    </w:rPr>
  </w:style>
  <w:style w:type="paragraph" w:customStyle="1" w:styleId="Body3">
    <w:name w:val="Body 3"/>
    <w:basedOn w:val="Body"/>
    <w:qFormat/>
    <w:rsid w:val="00C722C2"/>
    <w:pPr>
      <w:numPr>
        <w:ilvl w:val="1"/>
        <w:numId w:val="5"/>
      </w:numPr>
    </w:pPr>
  </w:style>
  <w:style w:type="character" w:customStyle="1" w:styleId="Heading3Char">
    <w:name w:val="Heading 3 Char"/>
    <w:basedOn w:val="DefaultParagraphFont"/>
    <w:link w:val="Heading3"/>
    <w:uiPriority w:val="9"/>
    <w:rsid w:val="006810D5"/>
    <w:rPr>
      <w:rFonts w:ascii="Times New Roman" w:eastAsia="SimSun" w:hAnsi="Times New Roman" w:cs="Times New Roman"/>
      <w:b/>
      <w:iCs/>
      <w:color w:val="404040" w:themeColor="text1" w:themeTint="BF"/>
      <w:szCs w:val="24"/>
    </w:rPr>
  </w:style>
  <w:style w:type="paragraph" w:customStyle="1" w:styleId="Body4">
    <w:name w:val="Body 4"/>
    <w:basedOn w:val="Body"/>
    <w:qFormat/>
    <w:rsid w:val="00854385"/>
    <w:pPr>
      <w:numPr>
        <w:ilvl w:val="1"/>
        <w:numId w:val="6"/>
      </w:numPr>
      <w:spacing w:line="240" w:lineRule="auto"/>
    </w:pPr>
  </w:style>
  <w:style w:type="character" w:customStyle="1" w:styleId="Heading4Char">
    <w:name w:val="Heading 4 Char"/>
    <w:basedOn w:val="DefaultParagraphFont"/>
    <w:link w:val="Heading4"/>
    <w:uiPriority w:val="9"/>
    <w:rsid w:val="00854385"/>
    <w:rPr>
      <w:rFonts w:ascii="Times New Roman" w:eastAsia="SimSun" w:hAnsi="Times New Roman" w:cs="Times New Roman"/>
      <w:b/>
      <w:iCs/>
    </w:rPr>
  </w:style>
  <w:style w:type="paragraph" w:customStyle="1" w:styleId="Body5">
    <w:name w:val="Body 5"/>
    <w:basedOn w:val="Body"/>
    <w:qFormat/>
    <w:rsid w:val="00467DEC"/>
    <w:pPr>
      <w:ind w:left="576"/>
    </w:pPr>
  </w:style>
  <w:style w:type="character" w:customStyle="1" w:styleId="Heading5Char">
    <w:name w:val="Heading 5 Char"/>
    <w:basedOn w:val="DefaultParagraphFont"/>
    <w:link w:val="Heading5"/>
    <w:uiPriority w:val="9"/>
    <w:rsid w:val="00467DEC"/>
    <w:rPr>
      <w:rFonts w:ascii="Cambria" w:eastAsiaTheme="majorEastAsia" w:hAnsi="Cambria" w:cstheme="majorBidi"/>
      <w:i/>
      <w:iCs/>
      <w:color w:val="17365D" w:themeColor="text2" w:themeShade="BF"/>
      <w:sz w:val="20"/>
      <w:lang w:bidi="en-US"/>
    </w:rPr>
  </w:style>
  <w:style w:type="paragraph" w:customStyle="1" w:styleId="Body6">
    <w:name w:val="Body 6"/>
    <w:basedOn w:val="Body5"/>
    <w:qFormat/>
    <w:rsid w:val="00467DEC"/>
  </w:style>
  <w:style w:type="character" w:customStyle="1" w:styleId="Heading6Char">
    <w:name w:val="Heading 6 Char"/>
    <w:basedOn w:val="DefaultParagraphFont"/>
    <w:link w:val="Heading6"/>
    <w:uiPriority w:val="9"/>
    <w:semiHidden/>
    <w:rsid w:val="00467DEC"/>
    <w:rPr>
      <w:rFonts w:ascii="Cambria" w:eastAsiaTheme="majorEastAsia" w:hAnsi="Cambria" w:cstheme="majorBidi"/>
      <w:iCs/>
      <w:color w:val="000000" w:themeColor="text1"/>
      <w:sz w:val="20"/>
      <w:lang w:bidi="en-US"/>
      <w14:textFill>
        <w14:solidFill>
          <w14:schemeClr w14:val="tx1">
            <w14:lumMod w14:val="65000"/>
            <w14:lumOff w14:val="35000"/>
            <w14:lumMod w14:val="75000"/>
            <w14:lumOff w14:val="25000"/>
          </w14:schemeClr>
        </w14:solidFill>
      </w14:textFill>
    </w:rPr>
  </w:style>
  <w:style w:type="paragraph" w:customStyle="1" w:styleId="Body7">
    <w:name w:val="Body 7"/>
    <w:basedOn w:val="Body6"/>
    <w:qFormat/>
    <w:rsid w:val="00467DEC"/>
  </w:style>
  <w:style w:type="character" w:customStyle="1" w:styleId="Heading7Char">
    <w:name w:val="Heading 7 Char"/>
    <w:basedOn w:val="DefaultParagraphFont"/>
    <w:link w:val="Heading7"/>
    <w:uiPriority w:val="9"/>
    <w:semiHidden/>
    <w:rsid w:val="00467DEC"/>
    <w:rPr>
      <w:rFonts w:ascii="Cambria" w:eastAsiaTheme="majorEastAsia" w:hAnsi="Cambria" w:cstheme="majorBidi"/>
      <w:iCs/>
      <w:color w:val="7F7F7F" w:themeColor="text1" w:themeTint="80"/>
      <w:sz w:val="20"/>
      <w:lang w:bidi="en-US"/>
    </w:rPr>
  </w:style>
  <w:style w:type="paragraph" w:customStyle="1" w:styleId="Body8">
    <w:name w:val="Body 8"/>
    <w:basedOn w:val="Body7"/>
    <w:qFormat/>
    <w:rsid w:val="00467DEC"/>
  </w:style>
  <w:style w:type="character" w:customStyle="1" w:styleId="Heading8Char">
    <w:name w:val="Heading 8 Char"/>
    <w:basedOn w:val="DefaultParagraphFont"/>
    <w:link w:val="Heading8"/>
    <w:uiPriority w:val="9"/>
    <w:semiHidden/>
    <w:rsid w:val="00467DEC"/>
    <w:rPr>
      <w:rFonts w:ascii="Cambria" w:eastAsiaTheme="majorEastAsia" w:hAnsi="Cambria" w:cstheme="majorBidi"/>
      <w:iCs/>
      <w:color w:val="7F7F7F" w:themeColor="text1" w:themeTint="80"/>
      <w:sz w:val="20"/>
      <w:lang w:bidi="en-US"/>
    </w:rPr>
  </w:style>
  <w:style w:type="paragraph" w:customStyle="1" w:styleId="Body9">
    <w:name w:val="Body 9"/>
    <w:basedOn w:val="Body8"/>
    <w:qFormat/>
    <w:rsid w:val="00467DEC"/>
  </w:style>
  <w:style w:type="character" w:customStyle="1" w:styleId="Heading9Char">
    <w:name w:val="Heading 9 Char"/>
    <w:basedOn w:val="DefaultParagraphFont"/>
    <w:link w:val="Heading9"/>
    <w:uiPriority w:val="9"/>
    <w:semiHidden/>
    <w:rsid w:val="00467DEC"/>
    <w:rPr>
      <w:rFonts w:ascii="Cambria" w:eastAsiaTheme="majorEastAsia" w:hAnsi="Cambria" w:cstheme="majorBidi"/>
      <w:iCs/>
      <w:color w:val="7F7F7F" w:themeColor="text1" w:themeTint="80"/>
      <w:sz w:val="20"/>
      <w:lang w:bidi="en-US"/>
    </w:rPr>
  </w:style>
  <w:style w:type="paragraph" w:customStyle="1" w:styleId="Body1Bulleted">
    <w:name w:val="Body 1 Bulleted"/>
    <w:basedOn w:val="Body1"/>
    <w:qFormat/>
    <w:rsid w:val="00CF453F"/>
    <w:pPr>
      <w:numPr>
        <w:ilvl w:val="2"/>
      </w:numPr>
      <w:tabs>
        <w:tab w:val="left" w:pos="288"/>
      </w:tabs>
      <w:contextualSpacing/>
    </w:pPr>
  </w:style>
  <w:style w:type="paragraph" w:customStyle="1" w:styleId="Body1Numbered">
    <w:name w:val="Body 1 Numbered"/>
    <w:basedOn w:val="Body1"/>
    <w:qFormat/>
    <w:rsid w:val="006B7DC2"/>
    <w:pPr>
      <w:numPr>
        <w:ilvl w:val="4"/>
      </w:numPr>
      <w:tabs>
        <w:tab w:val="left" w:pos="288"/>
      </w:tabs>
    </w:pPr>
  </w:style>
  <w:style w:type="paragraph" w:customStyle="1" w:styleId="Body1Lettered">
    <w:name w:val="Body 1 Lettered"/>
    <w:basedOn w:val="Body1"/>
    <w:qFormat/>
    <w:rsid w:val="00E6399B"/>
    <w:pPr>
      <w:numPr>
        <w:ilvl w:val="3"/>
      </w:numPr>
      <w:tabs>
        <w:tab w:val="left" w:pos="288"/>
      </w:tabs>
      <w:contextualSpacing/>
    </w:pPr>
  </w:style>
  <w:style w:type="paragraph" w:customStyle="1" w:styleId="Body3Numbered">
    <w:name w:val="Body 3 Numbered"/>
    <w:basedOn w:val="Body3"/>
    <w:qFormat/>
    <w:rsid w:val="003A199D"/>
    <w:pPr>
      <w:numPr>
        <w:ilvl w:val="4"/>
      </w:numPr>
      <w:contextualSpacing/>
    </w:pPr>
  </w:style>
  <w:style w:type="paragraph" w:customStyle="1" w:styleId="Body2Numbered">
    <w:name w:val="Body 2 Numbered"/>
    <w:basedOn w:val="Body1Numbered"/>
    <w:qFormat/>
    <w:rsid w:val="00C37923"/>
    <w:pPr>
      <w:numPr>
        <w:numId w:val="7"/>
      </w:numPr>
      <w:tabs>
        <w:tab w:val="clear" w:pos="288"/>
      </w:tabs>
    </w:pPr>
  </w:style>
  <w:style w:type="paragraph" w:customStyle="1" w:styleId="Body4Numbered">
    <w:name w:val="Body 4 Numbered"/>
    <w:basedOn w:val="Body4"/>
    <w:qFormat/>
    <w:rsid w:val="00DE32E8"/>
    <w:pPr>
      <w:numPr>
        <w:ilvl w:val="4"/>
      </w:numPr>
      <w:tabs>
        <w:tab w:val="left" w:pos="864"/>
      </w:tabs>
      <w:contextualSpacing/>
    </w:pPr>
  </w:style>
  <w:style w:type="paragraph" w:customStyle="1" w:styleId="FigureNum">
    <w:name w:val="Figure Num"/>
    <w:basedOn w:val="Body"/>
    <w:next w:val="Body"/>
    <w:qFormat/>
    <w:rsid w:val="00FE248F"/>
    <w:pPr>
      <w:framePr w:hSpace="288" w:wrap="notBeside" w:vAnchor="text" w:hAnchor="text" w:xAlign="center" w:y="1"/>
      <w:numPr>
        <w:numId w:val="1"/>
      </w:numPr>
      <w:tabs>
        <w:tab w:val="left" w:pos="180"/>
        <w:tab w:val="left" w:pos="360"/>
        <w:tab w:val="left" w:pos="540"/>
        <w:tab w:val="left" w:pos="720"/>
        <w:tab w:val="left" w:pos="900"/>
        <w:tab w:val="left" w:pos="1080"/>
        <w:tab w:val="left" w:pos="1260"/>
        <w:tab w:val="left" w:pos="1440"/>
        <w:tab w:val="left" w:pos="1620"/>
        <w:tab w:val="left" w:pos="1800"/>
        <w:tab w:val="left" w:pos="1980"/>
        <w:tab w:val="left" w:pos="2160"/>
      </w:tabs>
      <w:spacing w:before="60" w:after="60"/>
      <w:jc w:val="center"/>
    </w:pPr>
    <w:rPr>
      <w:i/>
      <w:szCs w:val="22"/>
    </w:rPr>
  </w:style>
  <w:style w:type="paragraph" w:customStyle="1" w:styleId="FigureLeft">
    <w:name w:val="Figure Left"/>
    <w:basedOn w:val="FigureNum"/>
    <w:qFormat/>
    <w:rsid w:val="00467DEC"/>
    <w:pPr>
      <w:framePr w:wrap="around" w:xAlign="left"/>
      <w:ind w:left="0" w:firstLine="0"/>
      <w:jc w:val="left"/>
    </w:pPr>
    <w:rPr>
      <w:noProof/>
    </w:rPr>
  </w:style>
  <w:style w:type="paragraph" w:customStyle="1" w:styleId="FigureRight">
    <w:name w:val="Figure Right"/>
    <w:basedOn w:val="FigureNum"/>
    <w:qFormat/>
    <w:rsid w:val="00467DEC"/>
    <w:pPr>
      <w:framePr w:wrap="around"/>
      <w:ind w:left="0" w:firstLine="0"/>
      <w:jc w:val="right"/>
    </w:pPr>
  </w:style>
  <w:style w:type="paragraph" w:customStyle="1" w:styleId="Author">
    <w:name w:val="Author"/>
    <w:basedOn w:val="Body"/>
    <w:qFormat/>
    <w:rsid w:val="00467DEC"/>
    <w:pPr>
      <w:contextualSpacing/>
    </w:pPr>
  </w:style>
  <w:style w:type="paragraph" w:customStyle="1" w:styleId="Body2Bulleted">
    <w:name w:val="Body 2 Bulleted"/>
    <w:basedOn w:val="Body1Bulleted"/>
    <w:qFormat/>
    <w:rsid w:val="00C3084E"/>
    <w:pPr>
      <w:numPr>
        <w:numId w:val="7"/>
      </w:numPr>
      <w:tabs>
        <w:tab w:val="clear" w:pos="288"/>
        <w:tab w:val="left" w:pos="1530"/>
      </w:tabs>
      <w:spacing w:after="40"/>
      <w:contextualSpacing w:val="0"/>
    </w:pPr>
  </w:style>
  <w:style w:type="paragraph" w:customStyle="1" w:styleId="Body2Lettered">
    <w:name w:val="Body 2 Lettered"/>
    <w:basedOn w:val="Body1Lettered"/>
    <w:qFormat/>
    <w:rsid w:val="00C37923"/>
    <w:pPr>
      <w:numPr>
        <w:numId w:val="7"/>
      </w:numPr>
      <w:tabs>
        <w:tab w:val="clear" w:pos="288"/>
      </w:tabs>
    </w:pPr>
  </w:style>
  <w:style w:type="paragraph" w:customStyle="1" w:styleId="Body3Bulleted">
    <w:name w:val="Body 3 Bulleted"/>
    <w:basedOn w:val="Body3"/>
    <w:qFormat/>
    <w:rsid w:val="00C722C2"/>
    <w:pPr>
      <w:numPr>
        <w:ilvl w:val="2"/>
      </w:numPr>
      <w:spacing w:after="60"/>
    </w:pPr>
    <w:rPr>
      <w:szCs w:val="22"/>
    </w:rPr>
  </w:style>
  <w:style w:type="paragraph" w:customStyle="1" w:styleId="Body3Lettered">
    <w:name w:val="Body 3 Lettered"/>
    <w:basedOn w:val="Body3"/>
    <w:qFormat/>
    <w:rsid w:val="003A199D"/>
    <w:pPr>
      <w:numPr>
        <w:ilvl w:val="3"/>
      </w:numPr>
      <w:contextualSpacing/>
    </w:pPr>
  </w:style>
  <w:style w:type="paragraph" w:customStyle="1" w:styleId="Body4Bulleted">
    <w:name w:val="Body 4 Bulleted"/>
    <w:basedOn w:val="Body4"/>
    <w:qFormat/>
    <w:rsid w:val="00B60DEC"/>
    <w:pPr>
      <w:numPr>
        <w:ilvl w:val="2"/>
      </w:numPr>
      <w:tabs>
        <w:tab w:val="left" w:pos="864"/>
      </w:tabs>
      <w:spacing w:after="60"/>
    </w:pPr>
  </w:style>
  <w:style w:type="paragraph" w:customStyle="1" w:styleId="Body4Lettered">
    <w:name w:val="Body 4 Lettered"/>
    <w:basedOn w:val="Body4"/>
    <w:qFormat/>
    <w:rsid w:val="00DE32E8"/>
    <w:pPr>
      <w:numPr>
        <w:ilvl w:val="3"/>
      </w:numPr>
      <w:tabs>
        <w:tab w:val="left" w:pos="864"/>
      </w:tabs>
      <w:contextualSpacing/>
    </w:pPr>
  </w:style>
  <w:style w:type="paragraph" w:styleId="Title">
    <w:name w:val="Title"/>
    <w:basedOn w:val="CoverpageTitle"/>
    <w:next w:val="Normal"/>
    <w:link w:val="TitleChar"/>
    <w:uiPriority w:val="10"/>
    <w:qFormat/>
    <w:rsid w:val="0053173B"/>
    <w:rPr>
      <w:sz w:val="32"/>
      <w:szCs w:val="32"/>
    </w:rPr>
  </w:style>
  <w:style w:type="paragraph" w:customStyle="1" w:styleId="CoverpageTitle">
    <w:name w:val="Coverpage Title"/>
    <w:basedOn w:val="Normal"/>
    <w:qFormat/>
    <w:rsid w:val="002054DB"/>
    <w:pPr>
      <w:spacing w:before="120"/>
      <w:contextualSpacing/>
      <w:jc w:val="center"/>
    </w:pPr>
    <w:rPr>
      <w:rFonts w:eastAsia="Times" w:cs="Times New Roman"/>
      <w:b/>
      <w:noProof/>
      <w:sz w:val="40"/>
      <w:szCs w:val="20"/>
    </w:rPr>
  </w:style>
  <w:style w:type="character" w:customStyle="1" w:styleId="TitleChar">
    <w:name w:val="Title Char"/>
    <w:basedOn w:val="DefaultParagraphFont"/>
    <w:link w:val="Title"/>
    <w:uiPriority w:val="10"/>
    <w:rsid w:val="0053173B"/>
    <w:rPr>
      <w:rFonts w:ascii="Times New Roman" w:eastAsia="Times" w:hAnsi="Times New Roman" w:cs="Times New Roman"/>
      <w:b/>
      <w:noProof/>
      <w:sz w:val="32"/>
      <w:szCs w:val="32"/>
    </w:rPr>
  </w:style>
  <w:style w:type="paragraph" w:styleId="Subtitle">
    <w:name w:val="Subtitle"/>
    <w:basedOn w:val="Title"/>
    <w:next w:val="Normal"/>
    <w:link w:val="SubtitleChar"/>
    <w:uiPriority w:val="11"/>
    <w:qFormat/>
    <w:rsid w:val="00E444DD"/>
    <w:pPr>
      <w:spacing w:after="240"/>
    </w:pPr>
  </w:style>
  <w:style w:type="character" w:customStyle="1" w:styleId="SubtitleChar">
    <w:name w:val="Subtitle Char"/>
    <w:basedOn w:val="DefaultParagraphFont"/>
    <w:link w:val="Subtitle"/>
    <w:uiPriority w:val="11"/>
    <w:rsid w:val="00E444DD"/>
    <w:rPr>
      <w:rFonts w:ascii="Times New Roman" w:eastAsia="Times" w:hAnsi="Times New Roman" w:cs="Times New Roman"/>
      <w:b/>
      <w:noProof/>
      <w:sz w:val="32"/>
      <w:szCs w:val="32"/>
    </w:rPr>
  </w:style>
  <w:style w:type="character" w:styleId="Strong">
    <w:name w:val="Strong"/>
    <w:uiPriority w:val="22"/>
    <w:qFormat/>
    <w:rsid w:val="00467DEC"/>
    <w:rPr>
      <w:b/>
      <w:bCs/>
    </w:rPr>
  </w:style>
  <w:style w:type="character" w:styleId="Emphasis">
    <w:name w:val="Emphasis"/>
    <w:uiPriority w:val="20"/>
    <w:qFormat/>
    <w:rsid w:val="00467DEC"/>
    <w:rPr>
      <w:b/>
      <w:bCs/>
      <w:i/>
      <w:iCs/>
    </w:rPr>
  </w:style>
  <w:style w:type="paragraph" w:styleId="ListParagraph">
    <w:name w:val="List Paragraph"/>
    <w:basedOn w:val="Normal"/>
    <w:uiPriority w:val="34"/>
    <w:qFormat/>
    <w:rsid w:val="00467DEC"/>
    <w:pPr>
      <w:contextualSpacing/>
    </w:pPr>
  </w:style>
  <w:style w:type="paragraph" w:styleId="Quote">
    <w:name w:val="Quote"/>
    <w:basedOn w:val="Normal"/>
    <w:next w:val="Normal"/>
    <w:link w:val="QuoteChar"/>
    <w:uiPriority w:val="29"/>
    <w:qFormat/>
    <w:rsid w:val="00467DEC"/>
    <w:rPr>
      <w:rFonts w:asciiTheme="minorHAnsi" w:hAnsiTheme="minorHAnsi"/>
      <w:i/>
      <w:lang w:bidi="en-US"/>
    </w:rPr>
  </w:style>
  <w:style w:type="character" w:customStyle="1" w:styleId="QuoteChar">
    <w:name w:val="Quote Char"/>
    <w:basedOn w:val="DefaultParagraphFont"/>
    <w:link w:val="Quote"/>
    <w:uiPriority w:val="29"/>
    <w:rsid w:val="00467DEC"/>
    <w:rPr>
      <w:i/>
      <w:lang w:bidi="en-US"/>
    </w:rPr>
  </w:style>
  <w:style w:type="paragraph" w:styleId="IntenseQuote">
    <w:name w:val="Intense Quote"/>
    <w:basedOn w:val="Body"/>
    <w:next w:val="Normal"/>
    <w:link w:val="IntenseQuoteChar"/>
    <w:uiPriority w:val="30"/>
    <w:qFormat/>
    <w:rsid w:val="00467DEC"/>
    <w:rPr>
      <w:i/>
      <w:color w:val="4F81BD" w:themeColor="accent1"/>
    </w:rPr>
  </w:style>
  <w:style w:type="character" w:customStyle="1" w:styleId="IntenseQuoteChar">
    <w:name w:val="Intense Quote Char"/>
    <w:basedOn w:val="DefaultParagraphFont"/>
    <w:link w:val="IntenseQuote"/>
    <w:uiPriority w:val="30"/>
    <w:rsid w:val="00467DEC"/>
    <w:rPr>
      <w:rFonts w:ascii="Constantia" w:hAnsi="Constantia"/>
      <w:i/>
      <w:color w:val="4F81BD" w:themeColor="accent1"/>
      <w:sz w:val="20"/>
      <w:lang w:bidi="en-US"/>
    </w:rPr>
  </w:style>
  <w:style w:type="character" w:styleId="SubtleEmphasis">
    <w:name w:val="Subtle Emphasis"/>
    <w:uiPriority w:val="19"/>
    <w:qFormat/>
    <w:rsid w:val="00467DEC"/>
    <w:rPr>
      <w:b w:val="0"/>
      <w:i/>
      <w:iCs/>
    </w:rPr>
  </w:style>
  <w:style w:type="character" w:styleId="IntenseEmphasis">
    <w:name w:val="Intense Emphasis"/>
    <w:uiPriority w:val="21"/>
    <w:qFormat/>
    <w:rsid w:val="00467DEC"/>
    <w:rPr>
      <w:b/>
      <w:i/>
      <w:iCs/>
      <w:color w:val="4F81BD" w:themeColor="accent1"/>
    </w:rPr>
  </w:style>
  <w:style w:type="character" w:styleId="SubtleReference">
    <w:name w:val="Subtle Reference"/>
    <w:uiPriority w:val="31"/>
    <w:qFormat/>
    <w:rsid w:val="00467DEC"/>
    <w:rPr>
      <w:smallCaps/>
      <w:color w:val="4F81BD" w:themeColor="accent1"/>
    </w:rPr>
  </w:style>
  <w:style w:type="character" w:styleId="IntenseReference">
    <w:name w:val="Intense Reference"/>
    <w:uiPriority w:val="32"/>
    <w:qFormat/>
    <w:rsid w:val="00467DEC"/>
    <w:rPr>
      <w:b/>
      <w:bCs/>
      <w:smallCaps/>
      <w:color w:val="4F81BD" w:themeColor="accent1"/>
      <w:spacing w:val="5"/>
    </w:rPr>
  </w:style>
  <w:style w:type="paragraph" w:customStyle="1" w:styleId="Body2Sub">
    <w:name w:val="Body 2 Sub"/>
    <w:basedOn w:val="Body1Sub"/>
    <w:qFormat/>
    <w:rsid w:val="000C416E"/>
    <w:pPr>
      <w:numPr>
        <w:numId w:val="7"/>
      </w:numPr>
      <w:contextualSpacing/>
    </w:pPr>
  </w:style>
  <w:style w:type="paragraph" w:customStyle="1" w:styleId="Body1Sub">
    <w:name w:val="Body 1 Sub"/>
    <w:basedOn w:val="Body1"/>
    <w:qFormat/>
    <w:rsid w:val="006724F5"/>
    <w:pPr>
      <w:numPr>
        <w:ilvl w:val="5"/>
      </w:numPr>
    </w:pPr>
  </w:style>
  <w:style w:type="paragraph" w:styleId="Caption">
    <w:name w:val="caption"/>
    <w:basedOn w:val="Normal"/>
    <w:next w:val="Normal"/>
    <w:uiPriority w:val="35"/>
    <w:unhideWhenUsed/>
    <w:qFormat/>
    <w:rsid w:val="005E717C"/>
    <w:pPr>
      <w:widowControl w:val="0"/>
      <w:autoSpaceDE w:val="0"/>
      <w:autoSpaceDN w:val="0"/>
      <w:ind w:firstLine="720"/>
    </w:pPr>
    <w:rPr>
      <w:rFonts w:asciiTheme="minorHAnsi" w:eastAsia="Arial" w:hAnsiTheme="minorHAnsi" w:cs="Arial"/>
      <w:i/>
      <w:iCs/>
      <w:color w:val="1F497D" w:themeColor="text2"/>
      <w:sz w:val="18"/>
      <w:szCs w:val="18"/>
      <w:lang w:bidi="en-US"/>
    </w:rPr>
  </w:style>
  <w:style w:type="paragraph" w:customStyle="1" w:styleId="TableHeader">
    <w:name w:val="Table Header"/>
    <w:basedOn w:val="TableEntry"/>
    <w:qFormat/>
    <w:rsid w:val="00F92F04"/>
  </w:style>
  <w:style w:type="paragraph" w:customStyle="1" w:styleId="TableEntry">
    <w:name w:val="Table Entry"/>
    <w:basedOn w:val="Normal"/>
    <w:qFormat/>
    <w:rsid w:val="00653D28"/>
    <w:rPr>
      <w:rFonts w:ascii="Calibri" w:eastAsia="Times New Roman" w:hAnsi="Calibri" w:cs="Calibri"/>
      <w:color w:val="000000"/>
      <w:sz w:val="18"/>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52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26B"/>
    <w:rPr>
      <w:rFonts w:ascii="Segoe UI" w:hAnsi="Segoe UI" w:cs="Segoe UI"/>
      <w:sz w:val="18"/>
      <w:szCs w:val="18"/>
    </w:rPr>
  </w:style>
  <w:style w:type="paragraph" w:customStyle="1" w:styleId="ListofReferences">
    <w:name w:val="List of References"/>
    <w:basedOn w:val="Body1"/>
    <w:qFormat/>
    <w:rsid w:val="003E736D"/>
    <w:pPr>
      <w:numPr>
        <w:numId w:val="3"/>
      </w:numPr>
      <w:ind w:left="360"/>
      <w:jc w:val="left"/>
    </w:pPr>
    <w:rPr>
      <w:bCs/>
    </w:rPr>
  </w:style>
  <w:style w:type="paragraph" w:styleId="z-TopofForm">
    <w:name w:val="HTML Top of Form"/>
    <w:basedOn w:val="Normal"/>
    <w:next w:val="Normal"/>
    <w:link w:val="z-TopofFormChar"/>
    <w:hidden/>
    <w:uiPriority w:val="99"/>
    <w:semiHidden/>
    <w:unhideWhenUsed/>
    <w:rsid w:val="006B30F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B30FA"/>
    <w:rPr>
      <w:rFonts w:ascii="Arial" w:eastAsia="Times New Roman" w:hAnsi="Arial" w:cs="Arial"/>
      <w:vanish/>
      <w:sz w:val="16"/>
      <w:szCs w:val="16"/>
    </w:rPr>
  </w:style>
  <w:style w:type="paragraph" w:styleId="Header">
    <w:name w:val="header"/>
    <w:basedOn w:val="Normal"/>
    <w:link w:val="HeaderChar"/>
    <w:unhideWhenUsed/>
    <w:rsid w:val="002E5DE2"/>
    <w:pPr>
      <w:tabs>
        <w:tab w:val="center" w:pos="4680"/>
        <w:tab w:val="right" w:pos="9360"/>
      </w:tabs>
      <w:spacing w:after="120"/>
    </w:pPr>
  </w:style>
  <w:style w:type="character" w:customStyle="1" w:styleId="HeaderChar">
    <w:name w:val="Header Char"/>
    <w:basedOn w:val="DefaultParagraphFont"/>
    <w:link w:val="Header"/>
    <w:qFormat/>
    <w:rsid w:val="002E5DE2"/>
    <w:rPr>
      <w:rFonts w:ascii="Times New Roman" w:hAnsi="Times New Roman"/>
      <w:sz w:val="24"/>
    </w:rPr>
  </w:style>
  <w:style w:type="paragraph" w:styleId="Footer">
    <w:name w:val="footer"/>
    <w:basedOn w:val="Normal"/>
    <w:link w:val="FooterChar"/>
    <w:uiPriority w:val="99"/>
    <w:unhideWhenUsed/>
    <w:qFormat/>
    <w:rsid w:val="006F08CB"/>
    <w:pPr>
      <w:tabs>
        <w:tab w:val="center" w:pos="4680"/>
        <w:tab w:val="right" w:pos="9360"/>
      </w:tabs>
    </w:pPr>
  </w:style>
  <w:style w:type="character" w:customStyle="1" w:styleId="FooterChar">
    <w:name w:val="Footer Char"/>
    <w:basedOn w:val="DefaultParagraphFont"/>
    <w:link w:val="Footer"/>
    <w:uiPriority w:val="99"/>
    <w:rsid w:val="006F08CB"/>
    <w:rPr>
      <w:rFonts w:ascii="Calibri" w:hAnsi="Calibri"/>
    </w:rPr>
  </w:style>
  <w:style w:type="paragraph" w:styleId="TOCHeading">
    <w:name w:val="TOC Heading"/>
    <w:basedOn w:val="Heading1"/>
    <w:next w:val="Normal"/>
    <w:uiPriority w:val="39"/>
    <w:unhideWhenUsed/>
    <w:qFormat/>
    <w:rsid w:val="00957CE7"/>
    <w:pPr>
      <w:keepLines/>
      <w:numPr>
        <w:numId w:val="0"/>
      </w:numPr>
      <w:spacing w:after="0" w:line="259" w:lineRule="auto"/>
      <w:outlineLvl w:val="9"/>
    </w:pPr>
    <w:rPr>
      <w:rFonts w:asciiTheme="majorHAnsi" w:hAnsiTheme="majorHAnsi"/>
      <w:b w:val="0"/>
      <w:iCs w:val="0"/>
      <w:color w:val="365F91" w:themeColor="accent1" w:themeShade="BF"/>
      <w:spacing w:val="0"/>
      <w:sz w:val="32"/>
      <w:szCs w:val="32"/>
    </w:rPr>
  </w:style>
  <w:style w:type="paragraph" w:styleId="TOC1">
    <w:name w:val="toc 1"/>
    <w:basedOn w:val="Normal"/>
    <w:next w:val="Normal"/>
    <w:autoRedefine/>
    <w:uiPriority w:val="39"/>
    <w:unhideWhenUsed/>
    <w:rsid w:val="001C5347"/>
    <w:pPr>
      <w:tabs>
        <w:tab w:val="left" w:pos="360"/>
        <w:tab w:val="right" w:leader="dot" w:pos="9360"/>
      </w:tabs>
      <w:spacing w:after="100"/>
    </w:pPr>
  </w:style>
  <w:style w:type="paragraph" w:styleId="TOC2">
    <w:name w:val="toc 2"/>
    <w:basedOn w:val="Normal"/>
    <w:next w:val="Normal"/>
    <w:autoRedefine/>
    <w:uiPriority w:val="39"/>
    <w:unhideWhenUsed/>
    <w:rsid w:val="001C5347"/>
    <w:pPr>
      <w:tabs>
        <w:tab w:val="left" w:pos="810"/>
        <w:tab w:val="right" w:leader="dot" w:pos="9360"/>
      </w:tabs>
      <w:spacing w:after="100"/>
      <w:ind w:left="360"/>
    </w:pPr>
    <w:rPr>
      <w:noProof/>
      <w:lang w:bidi="en-US"/>
    </w:rPr>
  </w:style>
  <w:style w:type="character" w:styleId="Hyperlink">
    <w:name w:val="Hyperlink"/>
    <w:basedOn w:val="DefaultParagraphFont"/>
    <w:uiPriority w:val="99"/>
    <w:unhideWhenUsed/>
    <w:rsid w:val="00957CE7"/>
    <w:rPr>
      <w:color w:val="0000FF" w:themeColor="hyperlink"/>
      <w:u w:val="single"/>
    </w:rPr>
  </w:style>
  <w:style w:type="table" w:customStyle="1" w:styleId="TableGrid1">
    <w:name w:val="Table Grid1"/>
    <w:basedOn w:val="TableNormal"/>
    <w:next w:val="TableGrid"/>
    <w:rsid w:val="00D91AEC"/>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9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054D"/>
    <w:pPr>
      <w:spacing w:after="0" w:line="240" w:lineRule="auto"/>
    </w:pPr>
    <w:rPr>
      <w:rFonts w:ascii="Calibri" w:hAnsi="Calibri"/>
    </w:rPr>
  </w:style>
  <w:style w:type="paragraph" w:styleId="z-BottomofForm">
    <w:name w:val="HTML Bottom of Form"/>
    <w:basedOn w:val="Normal"/>
    <w:next w:val="Normal"/>
    <w:link w:val="z-BottomofFormChar"/>
    <w:hidden/>
    <w:uiPriority w:val="99"/>
    <w:semiHidden/>
    <w:unhideWhenUsed/>
    <w:rsid w:val="006B30F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B30FA"/>
    <w:rPr>
      <w:rFonts w:ascii="Arial" w:eastAsia="Times New Roman" w:hAnsi="Arial" w:cs="Arial"/>
      <w:vanish/>
      <w:sz w:val="16"/>
      <w:szCs w:val="16"/>
    </w:rPr>
  </w:style>
  <w:style w:type="paragraph" w:customStyle="1" w:styleId="HeaderCell">
    <w:name w:val="Header Cell"/>
    <w:basedOn w:val="Header"/>
    <w:qFormat/>
    <w:rsid w:val="002E5DE2"/>
    <w:pPr>
      <w:spacing w:before="40" w:after="40"/>
    </w:pPr>
    <w:rPr>
      <w:rFonts w:cs="Times New Roman"/>
      <w:kern w:val="2"/>
      <w:sz w:val="16"/>
      <w:szCs w:val="16"/>
      <w14:ligatures w14:val="standardContextual"/>
    </w:rPr>
  </w:style>
  <w:style w:type="paragraph" w:customStyle="1" w:styleId="HeaderCellCtr">
    <w:name w:val="Header Cell Ctr"/>
    <w:basedOn w:val="HeaderCell"/>
    <w:qFormat/>
    <w:rsid w:val="002E5DE2"/>
    <w:pPr>
      <w:jc w:val="center"/>
    </w:pPr>
    <w:rPr>
      <w:b/>
    </w:rPr>
  </w:style>
  <w:style w:type="paragraph" w:customStyle="1" w:styleId="SignatureHeader">
    <w:name w:val="Signature Header"/>
    <w:basedOn w:val="Normal"/>
    <w:qFormat/>
    <w:rsid w:val="002E5DE2"/>
    <w:pPr>
      <w:keepNext/>
      <w:spacing w:before="120" w:after="240"/>
    </w:pPr>
    <w:rPr>
      <w:rFonts w:eastAsia="DengXian Light" w:cs="Times New Roman"/>
      <w:spacing w:val="-10"/>
      <w:kern w:val="2"/>
      <w:sz w:val="28"/>
      <w:szCs w:val="28"/>
      <w14:ligatures w14:val="standardContextual"/>
    </w:rPr>
  </w:style>
  <w:style w:type="paragraph" w:customStyle="1" w:styleId="SignatureBlock">
    <w:name w:val="Signature Block"/>
    <w:basedOn w:val="Normal"/>
    <w:qFormat/>
    <w:rsid w:val="002E5DE2"/>
    <w:pPr>
      <w:keepNext/>
      <w:keepLines/>
      <w:widowControl w:val="0"/>
      <w:tabs>
        <w:tab w:val="left" w:pos="6300"/>
      </w:tabs>
    </w:pPr>
    <w:rPr>
      <w:rFonts w:eastAsia="DengXian Light" w:cs="Times New Roman"/>
      <w:spacing w:val="-10"/>
      <w:kern w:val="2"/>
      <w:szCs w:val="24"/>
      <w:shd w:val="clear" w:color="auto" w:fill="FFFFFF"/>
      <w14:ligatures w14:val="standardContextual"/>
    </w:rPr>
  </w:style>
  <w:style w:type="table" w:styleId="TableGridLight">
    <w:name w:val="Grid Table Light"/>
    <w:basedOn w:val="TableNormal"/>
    <w:uiPriority w:val="40"/>
    <w:rsid w:val="005346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346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21F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121FE0"/>
    <w:pPr>
      <w:autoSpaceDE w:val="0"/>
      <w:autoSpaceDN w:val="0"/>
      <w:adjustRightInd w:val="0"/>
      <w:spacing w:after="0" w:line="240" w:lineRule="auto"/>
    </w:pPr>
    <w:rPr>
      <w:rFonts w:ascii="Cambria" w:hAnsi="Cambria" w:cs="Cambria"/>
      <w:color w:val="000000"/>
      <w:sz w:val="24"/>
      <w:szCs w:val="24"/>
    </w:rPr>
  </w:style>
  <w:style w:type="paragraph" w:customStyle="1" w:styleId="TableNumber">
    <w:name w:val="Table Number"/>
    <w:basedOn w:val="Normal"/>
    <w:next w:val="TableEntry"/>
    <w:qFormat/>
    <w:rsid w:val="00414BA3"/>
    <w:pPr>
      <w:keepNext/>
      <w:numPr>
        <w:numId w:val="8"/>
      </w:numPr>
      <w:tabs>
        <w:tab w:val="left" w:pos="900"/>
      </w:tabs>
      <w:spacing w:before="240" w:after="120"/>
      <w:ind w:left="907" w:hanging="907"/>
    </w:pPr>
    <w:rPr>
      <w:b/>
      <w:iCs/>
    </w:rPr>
  </w:style>
  <w:style w:type="paragraph" w:customStyle="1" w:styleId="Body3Sub">
    <w:name w:val="Body 3 Sub"/>
    <w:basedOn w:val="Body3"/>
    <w:qFormat/>
    <w:rsid w:val="00CF453F"/>
    <w:pPr>
      <w:numPr>
        <w:ilvl w:val="5"/>
      </w:numPr>
    </w:pPr>
  </w:style>
  <w:style w:type="paragraph" w:customStyle="1" w:styleId="Body4Sub">
    <w:name w:val="Body 4 Sub"/>
    <w:basedOn w:val="Body4"/>
    <w:qFormat/>
    <w:rsid w:val="00DE32E8"/>
    <w:pPr>
      <w:numPr>
        <w:ilvl w:val="5"/>
      </w:numPr>
    </w:pPr>
  </w:style>
  <w:style w:type="table" w:customStyle="1" w:styleId="InterfaceSummary">
    <w:name w:val="Interface Summary"/>
    <w:basedOn w:val="TableNormal"/>
    <w:uiPriority w:val="99"/>
    <w:rsid w:val="00D369DF"/>
    <w:pPr>
      <w:spacing w:after="0" w:line="240" w:lineRule="auto"/>
    </w:pPr>
    <w:tblPr>
      <w:tblStyleRowBandSize w:val="1"/>
    </w:tblPr>
    <w:tblStylePr w:type="band2Horz">
      <w:rPr>
        <w:color w:val="D9D9D9" w:themeColor="background1" w:themeShade="D9"/>
      </w:rPr>
    </w:tblStylePr>
  </w:style>
  <w:style w:type="table" w:customStyle="1" w:styleId="InterfaceSummaryTable">
    <w:name w:val="Interface Summary Table"/>
    <w:basedOn w:val="TableNormal"/>
    <w:uiPriority w:val="99"/>
    <w:rsid w:val="00B149FD"/>
    <w:pPr>
      <w:spacing w:after="0" w:line="240" w:lineRule="auto"/>
    </w:pPr>
    <w:rPr>
      <w:rFonts w:ascii="Times New Roman" w:hAnsi="Times New Roman"/>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tcMar>
        <w:top w:w="58" w:type="dxa"/>
        <w:left w:w="58" w:type="dxa"/>
        <w:bottom w:w="58" w:type="dxa"/>
        <w:right w:w="58" w:type="dxa"/>
      </w:tcMar>
    </w:tcPr>
    <w:tblStylePr w:type="firstRow">
      <w:rPr>
        <w:rFonts w:ascii="Times New Roman" w:hAnsi="Times New Roman"/>
        <w:b/>
        <w:color w:val="000000" w:themeColor="text1"/>
        <w:sz w:val="20"/>
      </w:rPr>
      <w:tblPr/>
      <w:trPr>
        <w:tblHeader/>
      </w:trPr>
    </w:tblStylePr>
    <w:tblStylePr w:type="firstCol">
      <w:rPr>
        <w:rFonts w:ascii="Times New Roman" w:hAnsi="Times New Roman"/>
        <w:b/>
        <w:sz w:val="2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InterfaceDetail">
    <w:name w:val="InterfaceDetail"/>
    <w:basedOn w:val="Body2"/>
    <w:qFormat/>
    <w:rsid w:val="00411E2A"/>
    <w:pPr>
      <w:widowControl w:val="0"/>
      <w:numPr>
        <w:ilvl w:val="0"/>
        <w:numId w:val="9"/>
      </w:numPr>
      <w:tabs>
        <w:tab w:val="left" w:pos="270"/>
        <w:tab w:val="left" w:pos="1710"/>
      </w:tabs>
      <w:ind w:left="1714" w:hanging="1714"/>
      <w:contextualSpacing/>
    </w:pPr>
  </w:style>
  <w:style w:type="paragraph" w:customStyle="1" w:styleId="InterfaceHeading2">
    <w:name w:val="InterfaceHeading2"/>
    <w:basedOn w:val="Heading2"/>
    <w:qFormat/>
    <w:rsid w:val="002E3F57"/>
    <w:pPr>
      <w:tabs>
        <w:tab w:val="right" w:pos="9360"/>
      </w:tabs>
    </w:pPr>
    <w:rPr>
      <w:iCs w:val="0"/>
      <w:sz w:val="20"/>
      <w:szCs w:val="20"/>
    </w:rPr>
  </w:style>
  <w:style w:type="paragraph" w:customStyle="1" w:styleId="InterfaceSubDetail">
    <w:name w:val="InterfaceSubDetail"/>
    <w:basedOn w:val="InterfaceDetail"/>
    <w:qFormat/>
    <w:rsid w:val="00411E2A"/>
    <w:pPr>
      <w:numPr>
        <w:numId w:val="0"/>
      </w:numPr>
      <w:tabs>
        <w:tab w:val="clear" w:pos="270"/>
        <w:tab w:val="clear" w:pos="1710"/>
      </w:tabs>
      <w:spacing w:after="60"/>
      <w:ind w:left="1714"/>
    </w:pPr>
  </w:style>
  <w:style w:type="paragraph" w:customStyle="1" w:styleId="DESIGNNOTE">
    <w:name w:val="DESIGN NOTE"/>
    <w:basedOn w:val="Body1"/>
    <w:qFormat/>
    <w:rsid w:val="000329F5"/>
    <w:pPr>
      <w:jc w:val="center"/>
    </w:pPr>
    <w:rPr>
      <w:b/>
      <w:bCs/>
      <w:color w:val="0070C0"/>
      <w:u w:val="single"/>
    </w:rPr>
  </w:style>
  <w:style w:type="paragraph" w:customStyle="1" w:styleId="Figure">
    <w:name w:val="Figure"/>
    <w:basedOn w:val="Body"/>
    <w:next w:val="FigureNum"/>
    <w:qFormat/>
    <w:rsid w:val="00CF5E91"/>
    <w:pPr>
      <w:jc w:val="center"/>
    </w:pPr>
    <w:rPr>
      <w:noProof/>
    </w:rPr>
  </w:style>
  <w:style w:type="paragraph" w:styleId="NormalWeb">
    <w:name w:val="Normal (Web)"/>
    <w:basedOn w:val="Normal"/>
    <w:uiPriority w:val="99"/>
    <w:semiHidden/>
    <w:unhideWhenUsed/>
    <w:rsid w:val="001C09FE"/>
    <w:pPr>
      <w:spacing w:before="100" w:beforeAutospacing="1" w:after="100" w:afterAutospacing="1"/>
    </w:pPr>
    <w:rPr>
      <w:rFonts w:eastAsia="Times New Roman" w:cs="Times New Roman"/>
      <w:sz w:val="24"/>
      <w:szCs w:val="24"/>
    </w:rPr>
  </w:style>
  <w:style w:type="paragraph" w:customStyle="1" w:styleId="msonormal0">
    <w:name w:val="msonormal"/>
    <w:basedOn w:val="Normal"/>
    <w:uiPriority w:val="99"/>
    <w:rsid w:val="009D1F39"/>
    <w:pPr>
      <w:spacing w:before="100" w:beforeAutospacing="1" w:after="100" w:afterAutospacing="1"/>
    </w:pPr>
    <w:rPr>
      <w:rFonts w:eastAsia="Times New Roman" w:cs="Times New Roman"/>
      <w:sz w:val="24"/>
      <w:szCs w:val="24"/>
    </w:rPr>
  </w:style>
  <w:style w:type="paragraph" w:customStyle="1" w:styleId="TableText">
    <w:name w:val="TableText"/>
    <w:basedOn w:val="Normal"/>
    <w:qFormat/>
    <w:rsid w:val="00BA4497"/>
    <w:pPr>
      <w:jc w:val="right"/>
    </w:pPr>
    <w:rPr>
      <w:b/>
    </w:rPr>
  </w:style>
  <w:style w:type="table" w:styleId="ListTable4-Accent1">
    <w:name w:val="List Table 4 Accent 1"/>
    <w:basedOn w:val="TableNormal"/>
    <w:uiPriority w:val="49"/>
    <w:rsid w:val="009D1F39"/>
    <w:pPr>
      <w:spacing w:after="0" w:line="240" w:lineRule="auto"/>
    </w:pPr>
    <w:rPr>
      <w:kern w:val="2"/>
      <w:sz w:val="24"/>
      <w:szCs w:val="24"/>
      <w14:ligatures w14:val="standardContextual"/>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ResponsibilityTable">
    <w:name w:val="ResponsibilityTable"/>
    <w:basedOn w:val="TableNormal"/>
    <w:uiPriority w:val="99"/>
    <w:rsid w:val="00B60DEC"/>
    <w:pPr>
      <w:spacing w:after="0" w:line="240" w:lineRule="auto"/>
    </w:p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shd w:val="clear" w:color="auto" w:fill="FFFFFF" w:themeFill="background1"/>
    </w:tcPr>
    <w:tblStylePr w:type="firstRow">
      <w:rPr>
        <w:b/>
      </w:rPr>
    </w:tblStylePr>
    <w:tblStylePr w:type="firstCol">
      <w:rPr>
        <w:b/>
      </w:rPr>
    </w:tblStylePr>
  </w:style>
  <w:style w:type="table" w:customStyle="1" w:styleId="RACI">
    <w:name w:val="RACI"/>
    <w:basedOn w:val="TableNormal"/>
    <w:uiPriority w:val="99"/>
    <w:rsid w:val="00490B2D"/>
    <w:pPr>
      <w:spacing w:after="0" w:line="240" w:lineRule="auto"/>
      <w:jc w:val="center"/>
    </w:pPr>
    <w:rPr>
      <w:rFonts w:ascii="Times New Roman" w:hAnsi="Times New Roman"/>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rPr>
        <w:b/>
      </w:rPr>
    </w:tblStylePr>
    <w:tblStylePr w:type="firstCol">
      <w:pPr>
        <w:jc w:val="right"/>
      </w:pPr>
      <w:rPr>
        <w:b w:val="0"/>
      </w:rPr>
    </w:tblStylePr>
  </w:style>
  <w:style w:type="paragraph" w:customStyle="1" w:styleId="Body3SubHead">
    <w:name w:val="Body 3 SubHead"/>
    <w:basedOn w:val="Body3"/>
    <w:qFormat/>
    <w:rsid w:val="00854AC7"/>
    <w:pPr>
      <w:keepNext/>
      <w:spacing w:before="120"/>
    </w:pPr>
    <w:rPr>
      <w:b/>
      <w:u w:val="single"/>
    </w:rPr>
  </w:style>
  <w:style w:type="paragraph" w:customStyle="1" w:styleId="Body2SubHead">
    <w:name w:val="Body 2 SubHead"/>
    <w:basedOn w:val="Body2"/>
    <w:qFormat/>
    <w:rsid w:val="00854AC7"/>
    <w:pPr>
      <w:keepNext/>
    </w:pPr>
    <w:rPr>
      <w:b/>
      <w:u w:val="single"/>
    </w:rPr>
  </w:style>
  <w:style w:type="paragraph" w:customStyle="1" w:styleId="Body4SubHead">
    <w:name w:val="Body 4 SubHead"/>
    <w:basedOn w:val="Body4"/>
    <w:qFormat/>
    <w:rsid w:val="00C307D3"/>
    <w:rPr>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802">
      <w:bodyDiv w:val="1"/>
      <w:marLeft w:val="0"/>
      <w:marRight w:val="0"/>
      <w:marTop w:val="0"/>
      <w:marBottom w:val="0"/>
      <w:divBdr>
        <w:top w:val="none" w:sz="0" w:space="0" w:color="auto"/>
        <w:left w:val="none" w:sz="0" w:space="0" w:color="auto"/>
        <w:bottom w:val="none" w:sz="0" w:space="0" w:color="auto"/>
        <w:right w:val="none" w:sz="0" w:space="0" w:color="auto"/>
      </w:divBdr>
    </w:div>
    <w:div w:id="8726979">
      <w:bodyDiv w:val="1"/>
      <w:marLeft w:val="0"/>
      <w:marRight w:val="0"/>
      <w:marTop w:val="0"/>
      <w:marBottom w:val="0"/>
      <w:divBdr>
        <w:top w:val="none" w:sz="0" w:space="0" w:color="auto"/>
        <w:left w:val="none" w:sz="0" w:space="0" w:color="auto"/>
        <w:bottom w:val="none" w:sz="0" w:space="0" w:color="auto"/>
        <w:right w:val="none" w:sz="0" w:space="0" w:color="auto"/>
      </w:divBdr>
    </w:div>
    <w:div w:id="43021356">
      <w:bodyDiv w:val="1"/>
      <w:marLeft w:val="0"/>
      <w:marRight w:val="0"/>
      <w:marTop w:val="0"/>
      <w:marBottom w:val="0"/>
      <w:divBdr>
        <w:top w:val="none" w:sz="0" w:space="0" w:color="auto"/>
        <w:left w:val="none" w:sz="0" w:space="0" w:color="auto"/>
        <w:bottom w:val="none" w:sz="0" w:space="0" w:color="auto"/>
        <w:right w:val="none" w:sz="0" w:space="0" w:color="auto"/>
      </w:divBdr>
    </w:div>
    <w:div w:id="53705798">
      <w:bodyDiv w:val="1"/>
      <w:marLeft w:val="0"/>
      <w:marRight w:val="0"/>
      <w:marTop w:val="0"/>
      <w:marBottom w:val="0"/>
      <w:divBdr>
        <w:top w:val="none" w:sz="0" w:space="0" w:color="auto"/>
        <w:left w:val="none" w:sz="0" w:space="0" w:color="auto"/>
        <w:bottom w:val="none" w:sz="0" w:space="0" w:color="auto"/>
        <w:right w:val="none" w:sz="0" w:space="0" w:color="auto"/>
      </w:divBdr>
    </w:div>
    <w:div w:id="61679561">
      <w:bodyDiv w:val="1"/>
      <w:marLeft w:val="0"/>
      <w:marRight w:val="0"/>
      <w:marTop w:val="0"/>
      <w:marBottom w:val="0"/>
      <w:divBdr>
        <w:top w:val="none" w:sz="0" w:space="0" w:color="auto"/>
        <w:left w:val="none" w:sz="0" w:space="0" w:color="auto"/>
        <w:bottom w:val="none" w:sz="0" w:space="0" w:color="auto"/>
        <w:right w:val="none" w:sz="0" w:space="0" w:color="auto"/>
      </w:divBdr>
    </w:div>
    <w:div w:id="85466159">
      <w:bodyDiv w:val="1"/>
      <w:marLeft w:val="0"/>
      <w:marRight w:val="0"/>
      <w:marTop w:val="0"/>
      <w:marBottom w:val="0"/>
      <w:divBdr>
        <w:top w:val="none" w:sz="0" w:space="0" w:color="auto"/>
        <w:left w:val="none" w:sz="0" w:space="0" w:color="auto"/>
        <w:bottom w:val="none" w:sz="0" w:space="0" w:color="auto"/>
        <w:right w:val="none" w:sz="0" w:space="0" w:color="auto"/>
      </w:divBdr>
    </w:div>
    <w:div w:id="115679736">
      <w:bodyDiv w:val="1"/>
      <w:marLeft w:val="0"/>
      <w:marRight w:val="0"/>
      <w:marTop w:val="0"/>
      <w:marBottom w:val="0"/>
      <w:divBdr>
        <w:top w:val="none" w:sz="0" w:space="0" w:color="auto"/>
        <w:left w:val="none" w:sz="0" w:space="0" w:color="auto"/>
        <w:bottom w:val="none" w:sz="0" w:space="0" w:color="auto"/>
        <w:right w:val="none" w:sz="0" w:space="0" w:color="auto"/>
      </w:divBdr>
    </w:div>
    <w:div w:id="126777660">
      <w:bodyDiv w:val="1"/>
      <w:marLeft w:val="0"/>
      <w:marRight w:val="0"/>
      <w:marTop w:val="0"/>
      <w:marBottom w:val="0"/>
      <w:divBdr>
        <w:top w:val="none" w:sz="0" w:space="0" w:color="auto"/>
        <w:left w:val="none" w:sz="0" w:space="0" w:color="auto"/>
        <w:bottom w:val="none" w:sz="0" w:space="0" w:color="auto"/>
        <w:right w:val="none" w:sz="0" w:space="0" w:color="auto"/>
      </w:divBdr>
    </w:div>
    <w:div w:id="152141452">
      <w:bodyDiv w:val="1"/>
      <w:marLeft w:val="0"/>
      <w:marRight w:val="0"/>
      <w:marTop w:val="0"/>
      <w:marBottom w:val="0"/>
      <w:divBdr>
        <w:top w:val="none" w:sz="0" w:space="0" w:color="auto"/>
        <w:left w:val="none" w:sz="0" w:space="0" w:color="auto"/>
        <w:bottom w:val="none" w:sz="0" w:space="0" w:color="auto"/>
        <w:right w:val="none" w:sz="0" w:space="0" w:color="auto"/>
      </w:divBdr>
    </w:div>
    <w:div w:id="220288147">
      <w:bodyDiv w:val="1"/>
      <w:marLeft w:val="0"/>
      <w:marRight w:val="0"/>
      <w:marTop w:val="0"/>
      <w:marBottom w:val="0"/>
      <w:divBdr>
        <w:top w:val="none" w:sz="0" w:space="0" w:color="auto"/>
        <w:left w:val="none" w:sz="0" w:space="0" w:color="auto"/>
        <w:bottom w:val="none" w:sz="0" w:space="0" w:color="auto"/>
        <w:right w:val="none" w:sz="0" w:space="0" w:color="auto"/>
      </w:divBdr>
    </w:div>
    <w:div w:id="246310318">
      <w:bodyDiv w:val="1"/>
      <w:marLeft w:val="0"/>
      <w:marRight w:val="0"/>
      <w:marTop w:val="0"/>
      <w:marBottom w:val="0"/>
      <w:divBdr>
        <w:top w:val="none" w:sz="0" w:space="0" w:color="auto"/>
        <w:left w:val="none" w:sz="0" w:space="0" w:color="auto"/>
        <w:bottom w:val="none" w:sz="0" w:space="0" w:color="auto"/>
        <w:right w:val="none" w:sz="0" w:space="0" w:color="auto"/>
      </w:divBdr>
    </w:div>
    <w:div w:id="262614011">
      <w:bodyDiv w:val="1"/>
      <w:marLeft w:val="0"/>
      <w:marRight w:val="0"/>
      <w:marTop w:val="0"/>
      <w:marBottom w:val="0"/>
      <w:divBdr>
        <w:top w:val="none" w:sz="0" w:space="0" w:color="auto"/>
        <w:left w:val="none" w:sz="0" w:space="0" w:color="auto"/>
        <w:bottom w:val="none" w:sz="0" w:space="0" w:color="auto"/>
        <w:right w:val="none" w:sz="0" w:space="0" w:color="auto"/>
      </w:divBdr>
    </w:div>
    <w:div w:id="293877846">
      <w:bodyDiv w:val="1"/>
      <w:marLeft w:val="0"/>
      <w:marRight w:val="0"/>
      <w:marTop w:val="0"/>
      <w:marBottom w:val="0"/>
      <w:divBdr>
        <w:top w:val="none" w:sz="0" w:space="0" w:color="auto"/>
        <w:left w:val="none" w:sz="0" w:space="0" w:color="auto"/>
        <w:bottom w:val="none" w:sz="0" w:space="0" w:color="auto"/>
        <w:right w:val="none" w:sz="0" w:space="0" w:color="auto"/>
      </w:divBdr>
      <w:divsChild>
        <w:div w:id="820535683">
          <w:marLeft w:val="0"/>
          <w:marRight w:val="0"/>
          <w:marTop w:val="0"/>
          <w:marBottom w:val="0"/>
          <w:divBdr>
            <w:top w:val="none" w:sz="0" w:space="0" w:color="auto"/>
            <w:left w:val="none" w:sz="0" w:space="0" w:color="auto"/>
            <w:bottom w:val="none" w:sz="0" w:space="0" w:color="auto"/>
            <w:right w:val="none" w:sz="0" w:space="0" w:color="auto"/>
          </w:divBdr>
          <w:divsChild>
            <w:div w:id="460390758">
              <w:marLeft w:val="0"/>
              <w:marRight w:val="0"/>
              <w:marTop w:val="0"/>
              <w:marBottom w:val="0"/>
              <w:divBdr>
                <w:top w:val="none" w:sz="0" w:space="0" w:color="auto"/>
                <w:left w:val="none" w:sz="0" w:space="0" w:color="auto"/>
                <w:bottom w:val="none" w:sz="0" w:space="0" w:color="auto"/>
                <w:right w:val="none" w:sz="0" w:space="0" w:color="auto"/>
              </w:divBdr>
              <w:divsChild>
                <w:div w:id="606158916">
                  <w:marLeft w:val="0"/>
                  <w:marRight w:val="0"/>
                  <w:marTop w:val="0"/>
                  <w:marBottom w:val="0"/>
                  <w:divBdr>
                    <w:top w:val="none" w:sz="0" w:space="0" w:color="auto"/>
                    <w:left w:val="none" w:sz="0" w:space="0" w:color="auto"/>
                    <w:bottom w:val="none" w:sz="0" w:space="0" w:color="auto"/>
                    <w:right w:val="none" w:sz="0" w:space="0" w:color="auto"/>
                  </w:divBdr>
                  <w:divsChild>
                    <w:div w:id="125509828">
                      <w:marLeft w:val="0"/>
                      <w:marRight w:val="0"/>
                      <w:marTop w:val="0"/>
                      <w:marBottom w:val="0"/>
                      <w:divBdr>
                        <w:top w:val="none" w:sz="0" w:space="0" w:color="auto"/>
                        <w:left w:val="none" w:sz="0" w:space="0" w:color="auto"/>
                        <w:bottom w:val="none" w:sz="0" w:space="0" w:color="auto"/>
                        <w:right w:val="none" w:sz="0" w:space="0" w:color="auto"/>
                      </w:divBdr>
                      <w:divsChild>
                        <w:div w:id="519710503">
                          <w:marLeft w:val="0"/>
                          <w:marRight w:val="0"/>
                          <w:marTop w:val="0"/>
                          <w:marBottom w:val="0"/>
                          <w:divBdr>
                            <w:top w:val="none" w:sz="0" w:space="0" w:color="auto"/>
                            <w:left w:val="none" w:sz="0" w:space="0" w:color="auto"/>
                            <w:bottom w:val="none" w:sz="0" w:space="0" w:color="auto"/>
                            <w:right w:val="none" w:sz="0" w:space="0" w:color="auto"/>
                          </w:divBdr>
                        </w:div>
                      </w:divsChild>
                    </w:div>
                    <w:div w:id="599877499">
                      <w:marLeft w:val="0"/>
                      <w:marRight w:val="0"/>
                      <w:marTop w:val="0"/>
                      <w:marBottom w:val="0"/>
                      <w:divBdr>
                        <w:top w:val="none" w:sz="0" w:space="0" w:color="auto"/>
                        <w:left w:val="none" w:sz="0" w:space="0" w:color="auto"/>
                        <w:bottom w:val="none" w:sz="0" w:space="0" w:color="auto"/>
                        <w:right w:val="none" w:sz="0" w:space="0" w:color="auto"/>
                      </w:divBdr>
                      <w:divsChild>
                        <w:div w:id="1670710880">
                          <w:marLeft w:val="0"/>
                          <w:marRight w:val="0"/>
                          <w:marTop w:val="0"/>
                          <w:marBottom w:val="0"/>
                          <w:divBdr>
                            <w:top w:val="none" w:sz="0" w:space="0" w:color="auto"/>
                            <w:left w:val="none" w:sz="0" w:space="0" w:color="auto"/>
                            <w:bottom w:val="none" w:sz="0" w:space="0" w:color="auto"/>
                            <w:right w:val="none" w:sz="0" w:space="0" w:color="auto"/>
                          </w:divBdr>
                        </w:div>
                      </w:divsChild>
                    </w:div>
                    <w:div w:id="930312307">
                      <w:marLeft w:val="0"/>
                      <w:marRight w:val="0"/>
                      <w:marTop w:val="0"/>
                      <w:marBottom w:val="0"/>
                      <w:divBdr>
                        <w:top w:val="none" w:sz="0" w:space="0" w:color="auto"/>
                        <w:left w:val="none" w:sz="0" w:space="0" w:color="auto"/>
                        <w:bottom w:val="none" w:sz="0" w:space="0" w:color="auto"/>
                        <w:right w:val="none" w:sz="0" w:space="0" w:color="auto"/>
                      </w:divBdr>
                      <w:divsChild>
                        <w:div w:id="15932119">
                          <w:marLeft w:val="0"/>
                          <w:marRight w:val="0"/>
                          <w:marTop w:val="0"/>
                          <w:marBottom w:val="0"/>
                          <w:divBdr>
                            <w:top w:val="none" w:sz="0" w:space="0" w:color="auto"/>
                            <w:left w:val="none" w:sz="0" w:space="0" w:color="auto"/>
                            <w:bottom w:val="none" w:sz="0" w:space="0" w:color="auto"/>
                            <w:right w:val="none" w:sz="0" w:space="0" w:color="auto"/>
                          </w:divBdr>
                        </w:div>
                      </w:divsChild>
                    </w:div>
                    <w:div w:id="1263799017">
                      <w:marLeft w:val="0"/>
                      <w:marRight w:val="0"/>
                      <w:marTop w:val="0"/>
                      <w:marBottom w:val="0"/>
                      <w:divBdr>
                        <w:top w:val="none" w:sz="0" w:space="0" w:color="auto"/>
                        <w:left w:val="none" w:sz="0" w:space="0" w:color="auto"/>
                        <w:bottom w:val="none" w:sz="0" w:space="0" w:color="auto"/>
                        <w:right w:val="none" w:sz="0" w:space="0" w:color="auto"/>
                      </w:divBdr>
                      <w:divsChild>
                        <w:div w:id="1437336014">
                          <w:marLeft w:val="0"/>
                          <w:marRight w:val="0"/>
                          <w:marTop w:val="0"/>
                          <w:marBottom w:val="0"/>
                          <w:divBdr>
                            <w:top w:val="none" w:sz="0" w:space="0" w:color="auto"/>
                            <w:left w:val="none" w:sz="0" w:space="0" w:color="auto"/>
                            <w:bottom w:val="none" w:sz="0" w:space="0" w:color="auto"/>
                            <w:right w:val="none" w:sz="0" w:space="0" w:color="auto"/>
                          </w:divBdr>
                        </w:div>
                      </w:divsChild>
                    </w:div>
                    <w:div w:id="1879932712">
                      <w:marLeft w:val="0"/>
                      <w:marRight w:val="0"/>
                      <w:marTop w:val="0"/>
                      <w:marBottom w:val="0"/>
                      <w:divBdr>
                        <w:top w:val="none" w:sz="0" w:space="0" w:color="auto"/>
                        <w:left w:val="none" w:sz="0" w:space="0" w:color="auto"/>
                        <w:bottom w:val="none" w:sz="0" w:space="0" w:color="auto"/>
                        <w:right w:val="none" w:sz="0" w:space="0" w:color="auto"/>
                      </w:divBdr>
                      <w:divsChild>
                        <w:div w:id="384183271">
                          <w:marLeft w:val="0"/>
                          <w:marRight w:val="0"/>
                          <w:marTop w:val="0"/>
                          <w:marBottom w:val="0"/>
                          <w:divBdr>
                            <w:top w:val="none" w:sz="0" w:space="0" w:color="auto"/>
                            <w:left w:val="none" w:sz="0" w:space="0" w:color="auto"/>
                            <w:bottom w:val="none" w:sz="0" w:space="0" w:color="auto"/>
                            <w:right w:val="none" w:sz="0" w:space="0" w:color="auto"/>
                          </w:divBdr>
                        </w:div>
                        <w:div w:id="1660499194">
                          <w:marLeft w:val="0"/>
                          <w:marRight w:val="0"/>
                          <w:marTop w:val="0"/>
                          <w:marBottom w:val="0"/>
                          <w:divBdr>
                            <w:top w:val="none" w:sz="0" w:space="0" w:color="auto"/>
                            <w:left w:val="none" w:sz="0" w:space="0" w:color="auto"/>
                            <w:bottom w:val="none" w:sz="0" w:space="0" w:color="auto"/>
                            <w:right w:val="none" w:sz="0" w:space="0" w:color="auto"/>
                          </w:divBdr>
                        </w:div>
                        <w:div w:id="1901284975">
                          <w:marLeft w:val="0"/>
                          <w:marRight w:val="0"/>
                          <w:marTop w:val="0"/>
                          <w:marBottom w:val="0"/>
                          <w:divBdr>
                            <w:top w:val="none" w:sz="0" w:space="0" w:color="auto"/>
                            <w:left w:val="none" w:sz="0" w:space="0" w:color="auto"/>
                            <w:bottom w:val="none" w:sz="0" w:space="0" w:color="auto"/>
                            <w:right w:val="none" w:sz="0" w:space="0" w:color="auto"/>
                          </w:divBdr>
                        </w:div>
                      </w:divsChild>
                    </w:div>
                    <w:div w:id="2135902305">
                      <w:marLeft w:val="0"/>
                      <w:marRight w:val="0"/>
                      <w:marTop w:val="0"/>
                      <w:marBottom w:val="0"/>
                      <w:divBdr>
                        <w:top w:val="none" w:sz="0" w:space="0" w:color="auto"/>
                        <w:left w:val="none" w:sz="0" w:space="0" w:color="auto"/>
                        <w:bottom w:val="none" w:sz="0" w:space="0" w:color="auto"/>
                        <w:right w:val="none" w:sz="0" w:space="0" w:color="auto"/>
                      </w:divBdr>
                      <w:divsChild>
                        <w:div w:id="4670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01881">
      <w:bodyDiv w:val="1"/>
      <w:marLeft w:val="0"/>
      <w:marRight w:val="0"/>
      <w:marTop w:val="0"/>
      <w:marBottom w:val="0"/>
      <w:divBdr>
        <w:top w:val="none" w:sz="0" w:space="0" w:color="auto"/>
        <w:left w:val="none" w:sz="0" w:space="0" w:color="auto"/>
        <w:bottom w:val="none" w:sz="0" w:space="0" w:color="auto"/>
        <w:right w:val="none" w:sz="0" w:space="0" w:color="auto"/>
      </w:divBdr>
    </w:div>
    <w:div w:id="307785391">
      <w:bodyDiv w:val="1"/>
      <w:marLeft w:val="0"/>
      <w:marRight w:val="0"/>
      <w:marTop w:val="0"/>
      <w:marBottom w:val="0"/>
      <w:divBdr>
        <w:top w:val="none" w:sz="0" w:space="0" w:color="auto"/>
        <w:left w:val="none" w:sz="0" w:space="0" w:color="auto"/>
        <w:bottom w:val="none" w:sz="0" w:space="0" w:color="auto"/>
        <w:right w:val="none" w:sz="0" w:space="0" w:color="auto"/>
      </w:divBdr>
    </w:div>
    <w:div w:id="313418041">
      <w:bodyDiv w:val="1"/>
      <w:marLeft w:val="0"/>
      <w:marRight w:val="0"/>
      <w:marTop w:val="0"/>
      <w:marBottom w:val="0"/>
      <w:divBdr>
        <w:top w:val="none" w:sz="0" w:space="0" w:color="auto"/>
        <w:left w:val="none" w:sz="0" w:space="0" w:color="auto"/>
        <w:bottom w:val="none" w:sz="0" w:space="0" w:color="auto"/>
        <w:right w:val="none" w:sz="0" w:space="0" w:color="auto"/>
      </w:divBdr>
    </w:div>
    <w:div w:id="330331013">
      <w:bodyDiv w:val="1"/>
      <w:marLeft w:val="0"/>
      <w:marRight w:val="0"/>
      <w:marTop w:val="0"/>
      <w:marBottom w:val="0"/>
      <w:divBdr>
        <w:top w:val="none" w:sz="0" w:space="0" w:color="auto"/>
        <w:left w:val="none" w:sz="0" w:space="0" w:color="auto"/>
        <w:bottom w:val="none" w:sz="0" w:space="0" w:color="auto"/>
        <w:right w:val="none" w:sz="0" w:space="0" w:color="auto"/>
      </w:divBdr>
    </w:div>
    <w:div w:id="335815011">
      <w:bodyDiv w:val="1"/>
      <w:marLeft w:val="0"/>
      <w:marRight w:val="0"/>
      <w:marTop w:val="0"/>
      <w:marBottom w:val="0"/>
      <w:divBdr>
        <w:top w:val="none" w:sz="0" w:space="0" w:color="auto"/>
        <w:left w:val="none" w:sz="0" w:space="0" w:color="auto"/>
        <w:bottom w:val="none" w:sz="0" w:space="0" w:color="auto"/>
        <w:right w:val="none" w:sz="0" w:space="0" w:color="auto"/>
      </w:divBdr>
    </w:div>
    <w:div w:id="347028692">
      <w:bodyDiv w:val="1"/>
      <w:marLeft w:val="0"/>
      <w:marRight w:val="0"/>
      <w:marTop w:val="0"/>
      <w:marBottom w:val="0"/>
      <w:divBdr>
        <w:top w:val="none" w:sz="0" w:space="0" w:color="auto"/>
        <w:left w:val="none" w:sz="0" w:space="0" w:color="auto"/>
        <w:bottom w:val="none" w:sz="0" w:space="0" w:color="auto"/>
        <w:right w:val="none" w:sz="0" w:space="0" w:color="auto"/>
      </w:divBdr>
    </w:div>
    <w:div w:id="360936452">
      <w:bodyDiv w:val="1"/>
      <w:marLeft w:val="0"/>
      <w:marRight w:val="0"/>
      <w:marTop w:val="0"/>
      <w:marBottom w:val="0"/>
      <w:divBdr>
        <w:top w:val="none" w:sz="0" w:space="0" w:color="auto"/>
        <w:left w:val="none" w:sz="0" w:space="0" w:color="auto"/>
        <w:bottom w:val="none" w:sz="0" w:space="0" w:color="auto"/>
        <w:right w:val="none" w:sz="0" w:space="0" w:color="auto"/>
      </w:divBdr>
    </w:div>
    <w:div w:id="375860361">
      <w:bodyDiv w:val="1"/>
      <w:marLeft w:val="0"/>
      <w:marRight w:val="0"/>
      <w:marTop w:val="0"/>
      <w:marBottom w:val="0"/>
      <w:divBdr>
        <w:top w:val="none" w:sz="0" w:space="0" w:color="auto"/>
        <w:left w:val="none" w:sz="0" w:space="0" w:color="auto"/>
        <w:bottom w:val="none" w:sz="0" w:space="0" w:color="auto"/>
        <w:right w:val="none" w:sz="0" w:space="0" w:color="auto"/>
      </w:divBdr>
    </w:div>
    <w:div w:id="379940781">
      <w:bodyDiv w:val="1"/>
      <w:marLeft w:val="0"/>
      <w:marRight w:val="0"/>
      <w:marTop w:val="0"/>
      <w:marBottom w:val="0"/>
      <w:divBdr>
        <w:top w:val="none" w:sz="0" w:space="0" w:color="auto"/>
        <w:left w:val="none" w:sz="0" w:space="0" w:color="auto"/>
        <w:bottom w:val="none" w:sz="0" w:space="0" w:color="auto"/>
        <w:right w:val="none" w:sz="0" w:space="0" w:color="auto"/>
      </w:divBdr>
    </w:div>
    <w:div w:id="460616888">
      <w:bodyDiv w:val="1"/>
      <w:marLeft w:val="0"/>
      <w:marRight w:val="0"/>
      <w:marTop w:val="0"/>
      <w:marBottom w:val="0"/>
      <w:divBdr>
        <w:top w:val="none" w:sz="0" w:space="0" w:color="auto"/>
        <w:left w:val="none" w:sz="0" w:space="0" w:color="auto"/>
        <w:bottom w:val="none" w:sz="0" w:space="0" w:color="auto"/>
        <w:right w:val="none" w:sz="0" w:space="0" w:color="auto"/>
      </w:divBdr>
    </w:div>
    <w:div w:id="465897439">
      <w:bodyDiv w:val="1"/>
      <w:marLeft w:val="0"/>
      <w:marRight w:val="0"/>
      <w:marTop w:val="0"/>
      <w:marBottom w:val="0"/>
      <w:divBdr>
        <w:top w:val="none" w:sz="0" w:space="0" w:color="auto"/>
        <w:left w:val="none" w:sz="0" w:space="0" w:color="auto"/>
        <w:bottom w:val="none" w:sz="0" w:space="0" w:color="auto"/>
        <w:right w:val="none" w:sz="0" w:space="0" w:color="auto"/>
      </w:divBdr>
    </w:div>
    <w:div w:id="492069376">
      <w:bodyDiv w:val="1"/>
      <w:marLeft w:val="0"/>
      <w:marRight w:val="0"/>
      <w:marTop w:val="0"/>
      <w:marBottom w:val="0"/>
      <w:divBdr>
        <w:top w:val="none" w:sz="0" w:space="0" w:color="auto"/>
        <w:left w:val="none" w:sz="0" w:space="0" w:color="auto"/>
        <w:bottom w:val="none" w:sz="0" w:space="0" w:color="auto"/>
        <w:right w:val="none" w:sz="0" w:space="0" w:color="auto"/>
      </w:divBdr>
    </w:div>
    <w:div w:id="527135642">
      <w:bodyDiv w:val="1"/>
      <w:marLeft w:val="0"/>
      <w:marRight w:val="0"/>
      <w:marTop w:val="0"/>
      <w:marBottom w:val="0"/>
      <w:divBdr>
        <w:top w:val="none" w:sz="0" w:space="0" w:color="auto"/>
        <w:left w:val="none" w:sz="0" w:space="0" w:color="auto"/>
        <w:bottom w:val="none" w:sz="0" w:space="0" w:color="auto"/>
        <w:right w:val="none" w:sz="0" w:space="0" w:color="auto"/>
      </w:divBdr>
    </w:div>
    <w:div w:id="527378847">
      <w:bodyDiv w:val="1"/>
      <w:marLeft w:val="0"/>
      <w:marRight w:val="0"/>
      <w:marTop w:val="0"/>
      <w:marBottom w:val="0"/>
      <w:divBdr>
        <w:top w:val="none" w:sz="0" w:space="0" w:color="auto"/>
        <w:left w:val="none" w:sz="0" w:space="0" w:color="auto"/>
        <w:bottom w:val="none" w:sz="0" w:space="0" w:color="auto"/>
        <w:right w:val="none" w:sz="0" w:space="0" w:color="auto"/>
      </w:divBdr>
    </w:div>
    <w:div w:id="547375960">
      <w:bodyDiv w:val="1"/>
      <w:marLeft w:val="0"/>
      <w:marRight w:val="0"/>
      <w:marTop w:val="0"/>
      <w:marBottom w:val="0"/>
      <w:divBdr>
        <w:top w:val="none" w:sz="0" w:space="0" w:color="auto"/>
        <w:left w:val="none" w:sz="0" w:space="0" w:color="auto"/>
        <w:bottom w:val="none" w:sz="0" w:space="0" w:color="auto"/>
        <w:right w:val="none" w:sz="0" w:space="0" w:color="auto"/>
      </w:divBdr>
    </w:div>
    <w:div w:id="552353855">
      <w:bodyDiv w:val="1"/>
      <w:marLeft w:val="0"/>
      <w:marRight w:val="0"/>
      <w:marTop w:val="0"/>
      <w:marBottom w:val="0"/>
      <w:divBdr>
        <w:top w:val="none" w:sz="0" w:space="0" w:color="auto"/>
        <w:left w:val="none" w:sz="0" w:space="0" w:color="auto"/>
        <w:bottom w:val="none" w:sz="0" w:space="0" w:color="auto"/>
        <w:right w:val="none" w:sz="0" w:space="0" w:color="auto"/>
      </w:divBdr>
    </w:div>
    <w:div w:id="579995060">
      <w:bodyDiv w:val="1"/>
      <w:marLeft w:val="0"/>
      <w:marRight w:val="0"/>
      <w:marTop w:val="0"/>
      <w:marBottom w:val="0"/>
      <w:divBdr>
        <w:top w:val="none" w:sz="0" w:space="0" w:color="auto"/>
        <w:left w:val="none" w:sz="0" w:space="0" w:color="auto"/>
        <w:bottom w:val="none" w:sz="0" w:space="0" w:color="auto"/>
        <w:right w:val="none" w:sz="0" w:space="0" w:color="auto"/>
      </w:divBdr>
    </w:div>
    <w:div w:id="582028116">
      <w:bodyDiv w:val="1"/>
      <w:marLeft w:val="0"/>
      <w:marRight w:val="0"/>
      <w:marTop w:val="0"/>
      <w:marBottom w:val="0"/>
      <w:divBdr>
        <w:top w:val="none" w:sz="0" w:space="0" w:color="auto"/>
        <w:left w:val="none" w:sz="0" w:space="0" w:color="auto"/>
        <w:bottom w:val="none" w:sz="0" w:space="0" w:color="auto"/>
        <w:right w:val="none" w:sz="0" w:space="0" w:color="auto"/>
      </w:divBdr>
    </w:div>
    <w:div w:id="645430811">
      <w:bodyDiv w:val="1"/>
      <w:marLeft w:val="0"/>
      <w:marRight w:val="0"/>
      <w:marTop w:val="0"/>
      <w:marBottom w:val="0"/>
      <w:divBdr>
        <w:top w:val="none" w:sz="0" w:space="0" w:color="auto"/>
        <w:left w:val="none" w:sz="0" w:space="0" w:color="auto"/>
        <w:bottom w:val="none" w:sz="0" w:space="0" w:color="auto"/>
        <w:right w:val="none" w:sz="0" w:space="0" w:color="auto"/>
      </w:divBdr>
    </w:div>
    <w:div w:id="651638037">
      <w:bodyDiv w:val="1"/>
      <w:marLeft w:val="0"/>
      <w:marRight w:val="0"/>
      <w:marTop w:val="0"/>
      <w:marBottom w:val="0"/>
      <w:divBdr>
        <w:top w:val="none" w:sz="0" w:space="0" w:color="auto"/>
        <w:left w:val="none" w:sz="0" w:space="0" w:color="auto"/>
        <w:bottom w:val="none" w:sz="0" w:space="0" w:color="auto"/>
        <w:right w:val="none" w:sz="0" w:space="0" w:color="auto"/>
      </w:divBdr>
    </w:div>
    <w:div w:id="676808303">
      <w:bodyDiv w:val="1"/>
      <w:marLeft w:val="0"/>
      <w:marRight w:val="0"/>
      <w:marTop w:val="0"/>
      <w:marBottom w:val="0"/>
      <w:divBdr>
        <w:top w:val="none" w:sz="0" w:space="0" w:color="auto"/>
        <w:left w:val="none" w:sz="0" w:space="0" w:color="auto"/>
        <w:bottom w:val="none" w:sz="0" w:space="0" w:color="auto"/>
        <w:right w:val="none" w:sz="0" w:space="0" w:color="auto"/>
      </w:divBdr>
    </w:div>
    <w:div w:id="685324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5359">
          <w:marLeft w:val="0"/>
          <w:marRight w:val="0"/>
          <w:marTop w:val="0"/>
          <w:marBottom w:val="0"/>
          <w:divBdr>
            <w:top w:val="none" w:sz="0" w:space="0" w:color="auto"/>
            <w:left w:val="none" w:sz="0" w:space="0" w:color="auto"/>
            <w:bottom w:val="none" w:sz="0" w:space="0" w:color="auto"/>
            <w:right w:val="none" w:sz="0" w:space="0" w:color="auto"/>
          </w:divBdr>
          <w:divsChild>
            <w:div w:id="622348265">
              <w:marLeft w:val="0"/>
              <w:marRight w:val="0"/>
              <w:marTop w:val="0"/>
              <w:marBottom w:val="0"/>
              <w:divBdr>
                <w:top w:val="none" w:sz="0" w:space="0" w:color="auto"/>
                <w:left w:val="none" w:sz="0" w:space="0" w:color="auto"/>
                <w:bottom w:val="none" w:sz="0" w:space="0" w:color="auto"/>
                <w:right w:val="none" w:sz="0" w:space="0" w:color="auto"/>
              </w:divBdr>
              <w:divsChild>
                <w:div w:id="1422021685">
                  <w:marLeft w:val="0"/>
                  <w:marRight w:val="0"/>
                  <w:marTop w:val="0"/>
                  <w:marBottom w:val="0"/>
                  <w:divBdr>
                    <w:top w:val="none" w:sz="0" w:space="0" w:color="auto"/>
                    <w:left w:val="none" w:sz="0" w:space="0" w:color="auto"/>
                    <w:bottom w:val="none" w:sz="0" w:space="0" w:color="auto"/>
                    <w:right w:val="none" w:sz="0" w:space="0" w:color="auto"/>
                  </w:divBdr>
                  <w:divsChild>
                    <w:div w:id="1410880108">
                      <w:marLeft w:val="0"/>
                      <w:marRight w:val="0"/>
                      <w:marTop w:val="0"/>
                      <w:marBottom w:val="0"/>
                      <w:divBdr>
                        <w:top w:val="none" w:sz="0" w:space="0" w:color="auto"/>
                        <w:left w:val="none" w:sz="0" w:space="0" w:color="auto"/>
                        <w:bottom w:val="none" w:sz="0" w:space="0" w:color="auto"/>
                        <w:right w:val="none" w:sz="0" w:space="0" w:color="auto"/>
                      </w:divBdr>
                      <w:divsChild>
                        <w:div w:id="887031159">
                          <w:marLeft w:val="0"/>
                          <w:marRight w:val="0"/>
                          <w:marTop w:val="0"/>
                          <w:marBottom w:val="0"/>
                          <w:divBdr>
                            <w:top w:val="none" w:sz="0" w:space="0" w:color="auto"/>
                            <w:left w:val="none" w:sz="0" w:space="0" w:color="auto"/>
                            <w:bottom w:val="none" w:sz="0" w:space="0" w:color="auto"/>
                            <w:right w:val="none" w:sz="0" w:space="0" w:color="auto"/>
                          </w:divBdr>
                        </w:div>
                        <w:div w:id="10534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965326">
      <w:bodyDiv w:val="1"/>
      <w:marLeft w:val="0"/>
      <w:marRight w:val="0"/>
      <w:marTop w:val="0"/>
      <w:marBottom w:val="0"/>
      <w:divBdr>
        <w:top w:val="none" w:sz="0" w:space="0" w:color="auto"/>
        <w:left w:val="none" w:sz="0" w:space="0" w:color="auto"/>
        <w:bottom w:val="none" w:sz="0" w:space="0" w:color="auto"/>
        <w:right w:val="none" w:sz="0" w:space="0" w:color="auto"/>
      </w:divBdr>
    </w:div>
    <w:div w:id="799029460">
      <w:bodyDiv w:val="1"/>
      <w:marLeft w:val="0"/>
      <w:marRight w:val="0"/>
      <w:marTop w:val="0"/>
      <w:marBottom w:val="0"/>
      <w:divBdr>
        <w:top w:val="none" w:sz="0" w:space="0" w:color="auto"/>
        <w:left w:val="none" w:sz="0" w:space="0" w:color="auto"/>
        <w:bottom w:val="none" w:sz="0" w:space="0" w:color="auto"/>
        <w:right w:val="none" w:sz="0" w:space="0" w:color="auto"/>
      </w:divBdr>
    </w:div>
    <w:div w:id="845706098">
      <w:bodyDiv w:val="1"/>
      <w:marLeft w:val="0"/>
      <w:marRight w:val="0"/>
      <w:marTop w:val="0"/>
      <w:marBottom w:val="0"/>
      <w:divBdr>
        <w:top w:val="none" w:sz="0" w:space="0" w:color="auto"/>
        <w:left w:val="none" w:sz="0" w:space="0" w:color="auto"/>
        <w:bottom w:val="none" w:sz="0" w:space="0" w:color="auto"/>
        <w:right w:val="none" w:sz="0" w:space="0" w:color="auto"/>
      </w:divBdr>
    </w:div>
    <w:div w:id="901906536">
      <w:bodyDiv w:val="1"/>
      <w:marLeft w:val="0"/>
      <w:marRight w:val="0"/>
      <w:marTop w:val="0"/>
      <w:marBottom w:val="0"/>
      <w:divBdr>
        <w:top w:val="none" w:sz="0" w:space="0" w:color="auto"/>
        <w:left w:val="none" w:sz="0" w:space="0" w:color="auto"/>
        <w:bottom w:val="none" w:sz="0" w:space="0" w:color="auto"/>
        <w:right w:val="none" w:sz="0" w:space="0" w:color="auto"/>
      </w:divBdr>
    </w:div>
    <w:div w:id="935862860">
      <w:bodyDiv w:val="1"/>
      <w:marLeft w:val="0"/>
      <w:marRight w:val="0"/>
      <w:marTop w:val="0"/>
      <w:marBottom w:val="0"/>
      <w:divBdr>
        <w:top w:val="none" w:sz="0" w:space="0" w:color="auto"/>
        <w:left w:val="none" w:sz="0" w:space="0" w:color="auto"/>
        <w:bottom w:val="none" w:sz="0" w:space="0" w:color="auto"/>
        <w:right w:val="none" w:sz="0" w:space="0" w:color="auto"/>
      </w:divBdr>
    </w:div>
    <w:div w:id="937906580">
      <w:bodyDiv w:val="1"/>
      <w:marLeft w:val="0"/>
      <w:marRight w:val="0"/>
      <w:marTop w:val="0"/>
      <w:marBottom w:val="0"/>
      <w:divBdr>
        <w:top w:val="none" w:sz="0" w:space="0" w:color="auto"/>
        <w:left w:val="none" w:sz="0" w:space="0" w:color="auto"/>
        <w:bottom w:val="none" w:sz="0" w:space="0" w:color="auto"/>
        <w:right w:val="none" w:sz="0" w:space="0" w:color="auto"/>
      </w:divBdr>
      <w:divsChild>
        <w:div w:id="1197617600">
          <w:marLeft w:val="0"/>
          <w:marRight w:val="0"/>
          <w:marTop w:val="100"/>
          <w:marBottom w:val="100"/>
          <w:divBdr>
            <w:top w:val="none" w:sz="0" w:space="0" w:color="auto"/>
            <w:left w:val="none" w:sz="0" w:space="0" w:color="auto"/>
            <w:bottom w:val="none" w:sz="0" w:space="0" w:color="auto"/>
            <w:right w:val="none" w:sz="0" w:space="0" w:color="auto"/>
          </w:divBdr>
        </w:div>
        <w:div w:id="1949005551">
          <w:marLeft w:val="0"/>
          <w:marRight w:val="0"/>
          <w:marTop w:val="0"/>
          <w:marBottom w:val="160"/>
          <w:divBdr>
            <w:top w:val="none" w:sz="0" w:space="0" w:color="auto"/>
            <w:left w:val="none" w:sz="0" w:space="0" w:color="auto"/>
            <w:bottom w:val="none" w:sz="0" w:space="0" w:color="auto"/>
            <w:right w:val="none" w:sz="0" w:space="0" w:color="auto"/>
          </w:divBdr>
        </w:div>
      </w:divsChild>
    </w:div>
    <w:div w:id="947199893">
      <w:bodyDiv w:val="1"/>
      <w:marLeft w:val="0"/>
      <w:marRight w:val="0"/>
      <w:marTop w:val="0"/>
      <w:marBottom w:val="0"/>
      <w:divBdr>
        <w:top w:val="none" w:sz="0" w:space="0" w:color="auto"/>
        <w:left w:val="none" w:sz="0" w:space="0" w:color="auto"/>
        <w:bottom w:val="none" w:sz="0" w:space="0" w:color="auto"/>
        <w:right w:val="none" w:sz="0" w:space="0" w:color="auto"/>
      </w:divBdr>
    </w:div>
    <w:div w:id="1010253129">
      <w:bodyDiv w:val="1"/>
      <w:marLeft w:val="0"/>
      <w:marRight w:val="0"/>
      <w:marTop w:val="0"/>
      <w:marBottom w:val="0"/>
      <w:divBdr>
        <w:top w:val="none" w:sz="0" w:space="0" w:color="auto"/>
        <w:left w:val="none" w:sz="0" w:space="0" w:color="auto"/>
        <w:bottom w:val="none" w:sz="0" w:space="0" w:color="auto"/>
        <w:right w:val="none" w:sz="0" w:space="0" w:color="auto"/>
      </w:divBdr>
      <w:divsChild>
        <w:div w:id="738285712">
          <w:marLeft w:val="0"/>
          <w:marRight w:val="0"/>
          <w:marTop w:val="0"/>
          <w:marBottom w:val="0"/>
          <w:divBdr>
            <w:top w:val="none" w:sz="0" w:space="0" w:color="auto"/>
            <w:left w:val="none" w:sz="0" w:space="0" w:color="auto"/>
            <w:bottom w:val="none" w:sz="0" w:space="0" w:color="auto"/>
            <w:right w:val="none" w:sz="0" w:space="0" w:color="auto"/>
          </w:divBdr>
          <w:divsChild>
            <w:div w:id="2077121383">
              <w:marLeft w:val="0"/>
              <w:marRight w:val="0"/>
              <w:marTop w:val="0"/>
              <w:marBottom w:val="0"/>
              <w:divBdr>
                <w:top w:val="none" w:sz="0" w:space="0" w:color="auto"/>
                <w:left w:val="none" w:sz="0" w:space="0" w:color="auto"/>
                <w:bottom w:val="none" w:sz="0" w:space="0" w:color="auto"/>
                <w:right w:val="none" w:sz="0" w:space="0" w:color="auto"/>
              </w:divBdr>
              <w:divsChild>
                <w:div w:id="1281914191">
                  <w:marLeft w:val="0"/>
                  <w:marRight w:val="0"/>
                  <w:marTop w:val="0"/>
                  <w:marBottom w:val="0"/>
                  <w:divBdr>
                    <w:top w:val="none" w:sz="0" w:space="0" w:color="auto"/>
                    <w:left w:val="none" w:sz="0" w:space="0" w:color="auto"/>
                    <w:bottom w:val="none" w:sz="0" w:space="0" w:color="auto"/>
                    <w:right w:val="none" w:sz="0" w:space="0" w:color="auto"/>
                  </w:divBdr>
                  <w:divsChild>
                    <w:div w:id="168254890">
                      <w:marLeft w:val="0"/>
                      <w:marRight w:val="0"/>
                      <w:marTop w:val="0"/>
                      <w:marBottom w:val="0"/>
                      <w:divBdr>
                        <w:top w:val="none" w:sz="0" w:space="0" w:color="auto"/>
                        <w:left w:val="none" w:sz="0" w:space="0" w:color="auto"/>
                        <w:bottom w:val="none" w:sz="0" w:space="0" w:color="auto"/>
                        <w:right w:val="none" w:sz="0" w:space="0" w:color="auto"/>
                      </w:divBdr>
                      <w:divsChild>
                        <w:div w:id="599065744">
                          <w:marLeft w:val="0"/>
                          <w:marRight w:val="0"/>
                          <w:marTop w:val="0"/>
                          <w:marBottom w:val="0"/>
                          <w:divBdr>
                            <w:top w:val="none" w:sz="0" w:space="0" w:color="auto"/>
                            <w:left w:val="none" w:sz="0" w:space="0" w:color="auto"/>
                            <w:bottom w:val="none" w:sz="0" w:space="0" w:color="auto"/>
                            <w:right w:val="none" w:sz="0" w:space="0" w:color="auto"/>
                          </w:divBdr>
                        </w:div>
                      </w:divsChild>
                    </w:div>
                    <w:div w:id="477572564">
                      <w:marLeft w:val="0"/>
                      <w:marRight w:val="0"/>
                      <w:marTop w:val="0"/>
                      <w:marBottom w:val="0"/>
                      <w:divBdr>
                        <w:top w:val="none" w:sz="0" w:space="0" w:color="auto"/>
                        <w:left w:val="none" w:sz="0" w:space="0" w:color="auto"/>
                        <w:bottom w:val="none" w:sz="0" w:space="0" w:color="auto"/>
                        <w:right w:val="none" w:sz="0" w:space="0" w:color="auto"/>
                      </w:divBdr>
                      <w:divsChild>
                        <w:div w:id="779568527">
                          <w:marLeft w:val="0"/>
                          <w:marRight w:val="0"/>
                          <w:marTop w:val="0"/>
                          <w:marBottom w:val="0"/>
                          <w:divBdr>
                            <w:top w:val="none" w:sz="0" w:space="0" w:color="auto"/>
                            <w:left w:val="none" w:sz="0" w:space="0" w:color="auto"/>
                            <w:bottom w:val="none" w:sz="0" w:space="0" w:color="auto"/>
                            <w:right w:val="none" w:sz="0" w:space="0" w:color="auto"/>
                          </w:divBdr>
                        </w:div>
                      </w:divsChild>
                    </w:div>
                    <w:div w:id="513152860">
                      <w:marLeft w:val="0"/>
                      <w:marRight w:val="0"/>
                      <w:marTop w:val="0"/>
                      <w:marBottom w:val="0"/>
                      <w:divBdr>
                        <w:top w:val="none" w:sz="0" w:space="0" w:color="auto"/>
                        <w:left w:val="none" w:sz="0" w:space="0" w:color="auto"/>
                        <w:bottom w:val="none" w:sz="0" w:space="0" w:color="auto"/>
                        <w:right w:val="none" w:sz="0" w:space="0" w:color="auto"/>
                      </w:divBdr>
                      <w:divsChild>
                        <w:div w:id="1231112948">
                          <w:marLeft w:val="0"/>
                          <w:marRight w:val="0"/>
                          <w:marTop w:val="0"/>
                          <w:marBottom w:val="0"/>
                          <w:divBdr>
                            <w:top w:val="none" w:sz="0" w:space="0" w:color="auto"/>
                            <w:left w:val="none" w:sz="0" w:space="0" w:color="auto"/>
                            <w:bottom w:val="none" w:sz="0" w:space="0" w:color="auto"/>
                            <w:right w:val="none" w:sz="0" w:space="0" w:color="auto"/>
                          </w:divBdr>
                        </w:div>
                      </w:divsChild>
                    </w:div>
                    <w:div w:id="1266420127">
                      <w:marLeft w:val="0"/>
                      <w:marRight w:val="0"/>
                      <w:marTop w:val="0"/>
                      <w:marBottom w:val="0"/>
                      <w:divBdr>
                        <w:top w:val="none" w:sz="0" w:space="0" w:color="auto"/>
                        <w:left w:val="none" w:sz="0" w:space="0" w:color="auto"/>
                        <w:bottom w:val="none" w:sz="0" w:space="0" w:color="auto"/>
                        <w:right w:val="none" w:sz="0" w:space="0" w:color="auto"/>
                      </w:divBdr>
                      <w:divsChild>
                        <w:div w:id="1191071444">
                          <w:marLeft w:val="0"/>
                          <w:marRight w:val="0"/>
                          <w:marTop w:val="0"/>
                          <w:marBottom w:val="0"/>
                          <w:divBdr>
                            <w:top w:val="none" w:sz="0" w:space="0" w:color="auto"/>
                            <w:left w:val="none" w:sz="0" w:space="0" w:color="auto"/>
                            <w:bottom w:val="none" w:sz="0" w:space="0" w:color="auto"/>
                            <w:right w:val="none" w:sz="0" w:space="0" w:color="auto"/>
                          </w:divBdr>
                        </w:div>
                        <w:div w:id="1251550369">
                          <w:marLeft w:val="0"/>
                          <w:marRight w:val="0"/>
                          <w:marTop w:val="0"/>
                          <w:marBottom w:val="0"/>
                          <w:divBdr>
                            <w:top w:val="none" w:sz="0" w:space="0" w:color="auto"/>
                            <w:left w:val="none" w:sz="0" w:space="0" w:color="auto"/>
                            <w:bottom w:val="none" w:sz="0" w:space="0" w:color="auto"/>
                            <w:right w:val="none" w:sz="0" w:space="0" w:color="auto"/>
                          </w:divBdr>
                        </w:div>
                        <w:div w:id="1664234728">
                          <w:marLeft w:val="0"/>
                          <w:marRight w:val="0"/>
                          <w:marTop w:val="0"/>
                          <w:marBottom w:val="0"/>
                          <w:divBdr>
                            <w:top w:val="none" w:sz="0" w:space="0" w:color="auto"/>
                            <w:left w:val="none" w:sz="0" w:space="0" w:color="auto"/>
                            <w:bottom w:val="none" w:sz="0" w:space="0" w:color="auto"/>
                            <w:right w:val="none" w:sz="0" w:space="0" w:color="auto"/>
                          </w:divBdr>
                        </w:div>
                      </w:divsChild>
                    </w:div>
                    <w:div w:id="1758792503">
                      <w:marLeft w:val="0"/>
                      <w:marRight w:val="0"/>
                      <w:marTop w:val="0"/>
                      <w:marBottom w:val="0"/>
                      <w:divBdr>
                        <w:top w:val="none" w:sz="0" w:space="0" w:color="auto"/>
                        <w:left w:val="none" w:sz="0" w:space="0" w:color="auto"/>
                        <w:bottom w:val="none" w:sz="0" w:space="0" w:color="auto"/>
                        <w:right w:val="none" w:sz="0" w:space="0" w:color="auto"/>
                      </w:divBdr>
                      <w:divsChild>
                        <w:div w:id="491025943">
                          <w:marLeft w:val="0"/>
                          <w:marRight w:val="0"/>
                          <w:marTop w:val="0"/>
                          <w:marBottom w:val="0"/>
                          <w:divBdr>
                            <w:top w:val="none" w:sz="0" w:space="0" w:color="auto"/>
                            <w:left w:val="none" w:sz="0" w:space="0" w:color="auto"/>
                            <w:bottom w:val="none" w:sz="0" w:space="0" w:color="auto"/>
                            <w:right w:val="none" w:sz="0" w:space="0" w:color="auto"/>
                          </w:divBdr>
                        </w:div>
                      </w:divsChild>
                    </w:div>
                    <w:div w:id="2103866948">
                      <w:marLeft w:val="0"/>
                      <w:marRight w:val="0"/>
                      <w:marTop w:val="0"/>
                      <w:marBottom w:val="0"/>
                      <w:divBdr>
                        <w:top w:val="none" w:sz="0" w:space="0" w:color="auto"/>
                        <w:left w:val="none" w:sz="0" w:space="0" w:color="auto"/>
                        <w:bottom w:val="none" w:sz="0" w:space="0" w:color="auto"/>
                        <w:right w:val="none" w:sz="0" w:space="0" w:color="auto"/>
                      </w:divBdr>
                      <w:divsChild>
                        <w:div w:id="111301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49121">
      <w:bodyDiv w:val="1"/>
      <w:marLeft w:val="0"/>
      <w:marRight w:val="0"/>
      <w:marTop w:val="0"/>
      <w:marBottom w:val="0"/>
      <w:divBdr>
        <w:top w:val="none" w:sz="0" w:space="0" w:color="auto"/>
        <w:left w:val="none" w:sz="0" w:space="0" w:color="auto"/>
        <w:bottom w:val="none" w:sz="0" w:space="0" w:color="auto"/>
        <w:right w:val="none" w:sz="0" w:space="0" w:color="auto"/>
      </w:divBdr>
    </w:div>
    <w:div w:id="1073313536">
      <w:bodyDiv w:val="1"/>
      <w:marLeft w:val="0"/>
      <w:marRight w:val="0"/>
      <w:marTop w:val="0"/>
      <w:marBottom w:val="0"/>
      <w:divBdr>
        <w:top w:val="none" w:sz="0" w:space="0" w:color="auto"/>
        <w:left w:val="none" w:sz="0" w:space="0" w:color="auto"/>
        <w:bottom w:val="none" w:sz="0" w:space="0" w:color="auto"/>
        <w:right w:val="none" w:sz="0" w:space="0" w:color="auto"/>
      </w:divBdr>
    </w:div>
    <w:div w:id="1080983025">
      <w:bodyDiv w:val="1"/>
      <w:marLeft w:val="0"/>
      <w:marRight w:val="0"/>
      <w:marTop w:val="0"/>
      <w:marBottom w:val="0"/>
      <w:divBdr>
        <w:top w:val="none" w:sz="0" w:space="0" w:color="auto"/>
        <w:left w:val="none" w:sz="0" w:space="0" w:color="auto"/>
        <w:bottom w:val="none" w:sz="0" w:space="0" w:color="auto"/>
        <w:right w:val="none" w:sz="0" w:space="0" w:color="auto"/>
      </w:divBdr>
    </w:div>
    <w:div w:id="1093164476">
      <w:bodyDiv w:val="1"/>
      <w:marLeft w:val="0"/>
      <w:marRight w:val="0"/>
      <w:marTop w:val="0"/>
      <w:marBottom w:val="0"/>
      <w:divBdr>
        <w:top w:val="none" w:sz="0" w:space="0" w:color="auto"/>
        <w:left w:val="none" w:sz="0" w:space="0" w:color="auto"/>
        <w:bottom w:val="none" w:sz="0" w:space="0" w:color="auto"/>
        <w:right w:val="none" w:sz="0" w:space="0" w:color="auto"/>
      </w:divBdr>
    </w:div>
    <w:div w:id="1121458062">
      <w:bodyDiv w:val="1"/>
      <w:marLeft w:val="0"/>
      <w:marRight w:val="0"/>
      <w:marTop w:val="0"/>
      <w:marBottom w:val="0"/>
      <w:divBdr>
        <w:top w:val="none" w:sz="0" w:space="0" w:color="auto"/>
        <w:left w:val="none" w:sz="0" w:space="0" w:color="auto"/>
        <w:bottom w:val="none" w:sz="0" w:space="0" w:color="auto"/>
        <w:right w:val="none" w:sz="0" w:space="0" w:color="auto"/>
      </w:divBdr>
    </w:div>
    <w:div w:id="1155026105">
      <w:bodyDiv w:val="1"/>
      <w:marLeft w:val="0"/>
      <w:marRight w:val="0"/>
      <w:marTop w:val="0"/>
      <w:marBottom w:val="0"/>
      <w:divBdr>
        <w:top w:val="none" w:sz="0" w:space="0" w:color="auto"/>
        <w:left w:val="none" w:sz="0" w:space="0" w:color="auto"/>
        <w:bottom w:val="none" w:sz="0" w:space="0" w:color="auto"/>
        <w:right w:val="none" w:sz="0" w:space="0" w:color="auto"/>
      </w:divBdr>
      <w:divsChild>
        <w:div w:id="2067681828">
          <w:marLeft w:val="0"/>
          <w:marRight w:val="0"/>
          <w:marTop w:val="0"/>
          <w:marBottom w:val="0"/>
          <w:divBdr>
            <w:top w:val="none" w:sz="0" w:space="0" w:color="auto"/>
            <w:left w:val="none" w:sz="0" w:space="0" w:color="auto"/>
            <w:bottom w:val="none" w:sz="0" w:space="0" w:color="auto"/>
            <w:right w:val="none" w:sz="0" w:space="0" w:color="auto"/>
          </w:divBdr>
          <w:divsChild>
            <w:div w:id="158277808">
              <w:marLeft w:val="0"/>
              <w:marRight w:val="0"/>
              <w:marTop w:val="0"/>
              <w:marBottom w:val="0"/>
              <w:divBdr>
                <w:top w:val="none" w:sz="0" w:space="0" w:color="auto"/>
                <w:left w:val="none" w:sz="0" w:space="0" w:color="auto"/>
                <w:bottom w:val="none" w:sz="0" w:space="0" w:color="auto"/>
                <w:right w:val="none" w:sz="0" w:space="0" w:color="auto"/>
              </w:divBdr>
              <w:divsChild>
                <w:div w:id="564075468">
                  <w:marLeft w:val="0"/>
                  <w:marRight w:val="0"/>
                  <w:marTop w:val="0"/>
                  <w:marBottom w:val="0"/>
                  <w:divBdr>
                    <w:top w:val="none" w:sz="0" w:space="0" w:color="auto"/>
                    <w:left w:val="none" w:sz="0" w:space="0" w:color="auto"/>
                    <w:bottom w:val="none" w:sz="0" w:space="0" w:color="auto"/>
                    <w:right w:val="none" w:sz="0" w:space="0" w:color="auto"/>
                  </w:divBdr>
                </w:div>
                <w:div w:id="1825468781">
                  <w:marLeft w:val="0"/>
                  <w:marRight w:val="0"/>
                  <w:marTop w:val="0"/>
                  <w:marBottom w:val="0"/>
                  <w:divBdr>
                    <w:top w:val="none" w:sz="0" w:space="0" w:color="auto"/>
                    <w:left w:val="none" w:sz="0" w:space="0" w:color="auto"/>
                    <w:bottom w:val="none" w:sz="0" w:space="0" w:color="auto"/>
                    <w:right w:val="none" w:sz="0" w:space="0" w:color="auto"/>
                  </w:divBdr>
                </w:div>
                <w:div w:id="1474445246">
                  <w:marLeft w:val="0"/>
                  <w:marRight w:val="0"/>
                  <w:marTop w:val="0"/>
                  <w:marBottom w:val="0"/>
                  <w:divBdr>
                    <w:top w:val="none" w:sz="0" w:space="0" w:color="auto"/>
                    <w:left w:val="none" w:sz="0" w:space="0" w:color="auto"/>
                    <w:bottom w:val="none" w:sz="0" w:space="0" w:color="auto"/>
                    <w:right w:val="none" w:sz="0" w:space="0" w:color="auto"/>
                  </w:divBdr>
                </w:div>
                <w:div w:id="2022118981">
                  <w:marLeft w:val="0"/>
                  <w:marRight w:val="0"/>
                  <w:marTop w:val="0"/>
                  <w:marBottom w:val="0"/>
                  <w:divBdr>
                    <w:top w:val="none" w:sz="0" w:space="0" w:color="auto"/>
                    <w:left w:val="none" w:sz="0" w:space="0" w:color="auto"/>
                    <w:bottom w:val="none" w:sz="0" w:space="0" w:color="auto"/>
                    <w:right w:val="none" w:sz="0" w:space="0" w:color="auto"/>
                  </w:divBdr>
                </w:div>
                <w:div w:id="1945846559">
                  <w:marLeft w:val="0"/>
                  <w:marRight w:val="0"/>
                  <w:marTop w:val="0"/>
                  <w:marBottom w:val="0"/>
                  <w:divBdr>
                    <w:top w:val="none" w:sz="0" w:space="0" w:color="auto"/>
                    <w:left w:val="none" w:sz="0" w:space="0" w:color="auto"/>
                    <w:bottom w:val="none" w:sz="0" w:space="0" w:color="auto"/>
                    <w:right w:val="none" w:sz="0" w:space="0" w:color="auto"/>
                  </w:divBdr>
                </w:div>
              </w:divsChild>
            </w:div>
            <w:div w:id="1127355574">
              <w:marLeft w:val="0"/>
              <w:marRight w:val="0"/>
              <w:marTop w:val="0"/>
              <w:marBottom w:val="0"/>
              <w:divBdr>
                <w:top w:val="none" w:sz="0" w:space="0" w:color="auto"/>
                <w:left w:val="none" w:sz="0" w:space="0" w:color="auto"/>
                <w:bottom w:val="none" w:sz="0" w:space="0" w:color="auto"/>
                <w:right w:val="none" w:sz="0" w:space="0" w:color="auto"/>
              </w:divBdr>
              <w:divsChild>
                <w:div w:id="1850371113">
                  <w:marLeft w:val="0"/>
                  <w:marRight w:val="0"/>
                  <w:marTop w:val="0"/>
                  <w:marBottom w:val="0"/>
                  <w:divBdr>
                    <w:top w:val="none" w:sz="0" w:space="0" w:color="auto"/>
                    <w:left w:val="none" w:sz="0" w:space="0" w:color="auto"/>
                    <w:bottom w:val="none" w:sz="0" w:space="0" w:color="auto"/>
                    <w:right w:val="none" w:sz="0" w:space="0" w:color="auto"/>
                  </w:divBdr>
                </w:div>
                <w:div w:id="1587811991">
                  <w:marLeft w:val="0"/>
                  <w:marRight w:val="0"/>
                  <w:marTop w:val="0"/>
                  <w:marBottom w:val="0"/>
                  <w:divBdr>
                    <w:top w:val="none" w:sz="0" w:space="0" w:color="auto"/>
                    <w:left w:val="none" w:sz="0" w:space="0" w:color="auto"/>
                    <w:bottom w:val="none" w:sz="0" w:space="0" w:color="auto"/>
                    <w:right w:val="none" w:sz="0" w:space="0" w:color="auto"/>
                  </w:divBdr>
                </w:div>
                <w:div w:id="792985779">
                  <w:marLeft w:val="0"/>
                  <w:marRight w:val="0"/>
                  <w:marTop w:val="0"/>
                  <w:marBottom w:val="0"/>
                  <w:divBdr>
                    <w:top w:val="none" w:sz="0" w:space="0" w:color="auto"/>
                    <w:left w:val="none" w:sz="0" w:space="0" w:color="auto"/>
                    <w:bottom w:val="none" w:sz="0" w:space="0" w:color="auto"/>
                    <w:right w:val="none" w:sz="0" w:space="0" w:color="auto"/>
                  </w:divBdr>
                </w:div>
                <w:div w:id="167140390">
                  <w:marLeft w:val="0"/>
                  <w:marRight w:val="0"/>
                  <w:marTop w:val="0"/>
                  <w:marBottom w:val="0"/>
                  <w:divBdr>
                    <w:top w:val="none" w:sz="0" w:space="0" w:color="auto"/>
                    <w:left w:val="none" w:sz="0" w:space="0" w:color="auto"/>
                    <w:bottom w:val="none" w:sz="0" w:space="0" w:color="auto"/>
                    <w:right w:val="none" w:sz="0" w:space="0" w:color="auto"/>
                  </w:divBdr>
                </w:div>
                <w:div w:id="222638702">
                  <w:marLeft w:val="0"/>
                  <w:marRight w:val="0"/>
                  <w:marTop w:val="0"/>
                  <w:marBottom w:val="0"/>
                  <w:divBdr>
                    <w:top w:val="none" w:sz="0" w:space="0" w:color="auto"/>
                    <w:left w:val="none" w:sz="0" w:space="0" w:color="auto"/>
                    <w:bottom w:val="none" w:sz="0" w:space="0" w:color="auto"/>
                    <w:right w:val="none" w:sz="0" w:space="0" w:color="auto"/>
                  </w:divBdr>
                </w:div>
              </w:divsChild>
            </w:div>
            <w:div w:id="1030956124">
              <w:marLeft w:val="0"/>
              <w:marRight w:val="0"/>
              <w:marTop w:val="0"/>
              <w:marBottom w:val="0"/>
              <w:divBdr>
                <w:top w:val="none" w:sz="0" w:space="0" w:color="auto"/>
                <w:left w:val="none" w:sz="0" w:space="0" w:color="auto"/>
                <w:bottom w:val="none" w:sz="0" w:space="0" w:color="auto"/>
                <w:right w:val="none" w:sz="0" w:space="0" w:color="auto"/>
              </w:divBdr>
              <w:divsChild>
                <w:div w:id="210908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2389">
      <w:bodyDiv w:val="1"/>
      <w:marLeft w:val="0"/>
      <w:marRight w:val="0"/>
      <w:marTop w:val="0"/>
      <w:marBottom w:val="0"/>
      <w:divBdr>
        <w:top w:val="none" w:sz="0" w:space="0" w:color="auto"/>
        <w:left w:val="none" w:sz="0" w:space="0" w:color="auto"/>
        <w:bottom w:val="none" w:sz="0" w:space="0" w:color="auto"/>
        <w:right w:val="none" w:sz="0" w:space="0" w:color="auto"/>
      </w:divBdr>
    </w:div>
    <w:div w:id="1187063322">
      <w:bodyDiv w:val="1"/>
      <w:marLeft w:val="0"/>
      <w:marRight w:val="0"/>
      <w:marTop w:val="0"/>
      <w:marBottom w:val="0"/>
      <w:divBdr>
        <w:top w:val="none" w:sz="0" w:space="0" w:color="auto"/>
        <w:left w:val="none" w:sz="0" w:space="0" w:color="auto"/>
        <w:bottom w:val="none" w:sz="0" w:space="0" w:color="auto"/>
        <w:right w:val="none" w:sz="0" w:space="0" w:color="auto"/>
      </w:divBdr>
    </w:div>
    <w:div w:id="1238710907">
      <w:bodyDiv w:val="1"/>
      <w:marLeft w:val="0"/>
      <w:marRight w:val="0"/>
      <w:marTop w:val="0"/>
      <w:marBottom w:val="0"/>
      <w:divBdr>
        <w:top w:val="none" w:sz="0" w:space="0" w:color="auto"/>
        <w:left w:val="none" w:sz="0" w:space="0" w:color="auto"/>
        <w:bottom w:val="none" w:sz="0" w:space="0" w:color="auto"/>
        <w:right w:val="none" w:sz="0" w:space="0" w:color="auto"/>
      </w:divBdr>
    </w:div>
    <w:div w:id="1252156366">
      <w:bodyDiv w:val="1"/>
      <w:marLeft w:val="0"/>
      <w:marRight w:val="0"/>
      <w:marTop w:val="0"/>
      <w:marBottom w:val="0"/>
      <w:divBdr>
        <w:top w:val="none" w:sz="0" w:space="0" w:color="auto"/>
        <w:left w:val="none" w:sz="0" w:space="0" w:color="auto"/>
        <w:bottom w:val="none" w:sz="0" w:space="0" w:color="auto"/>
        <w:right w:val="none" w:sz="0" w:space="0" w:color="auto"/>
      </w:divBdr>
    </w:div>
    <w:div w:id="1295482138">
      <w:bodyDiv w:val="1"/>
      <w:marLeft w:val="0"/>
      <w:marRight w:val="0"/>
      <w:marTop w:val="0"/>
      <w:marBottom w:val="0"/>
      <w:divBdr>
        <w:top w:val="none" w:sz="0" w:space="0" w:color="auto"/>
        <w:left w:val="none" w:sz="0" w:space="0" w:color="auto"/>
        <w:bottom w:val="none" w:sz="0" w:space="0" w:color="auto"/>
        <w:right w:val="none" w:sz="0" w:space="0" w:color="auto"/>
      </w:divBdr>
    </w:div>
    <w:div w:id="1302690039">
      <w:bodyDiv w:val="1"/>
      <w:marLeft w:val="0"/>
      <w:marRight w:val="0"/>
      <w:marTop w:val="0"/>
      <w:marBottom w:val="0"/>
      <w:divBdr>
        <w:top w:val="none" w:sz="0" w:space="0" w:color="auto"/>
        <w:left w:val="none" w:sz="0" w:space="0" w:color="auto"/>
        <w:bottom w:val="none" w:sz="0" w:space="0" w:color="auto"/>
        <w:right w:val="none" w:sz="0" w:space="0" w:color="auto"/>
      </w:divBdr>
    </w:div>
    <w:div w:id="1305425439">
      <w:bodyDiv w:val="1"/>
      <w:marLeft w:val="0"/>
      <w:marRight w:val="0"/>
      <w:marTop w:val="0"/>
      <w:marBottom w:val="0"/>
      <w:divBdr>
        <w:top w:val="none" w:sz="0" w:space="0" w:color="auto"/>
        <w:left w:val="none" w:sz="0" w:space="0" w:color="auto"/>
        <w:bottom w:val="none" w:sz="0" w:space="0" w:color="auto"/>
        <w:right w:val="none" w:sz="0" w:space="0" w:color="auto"/>
      </w:divBdr>
    </w:div>
    <w:div w:id="1336420879">
      <w:bodyDiv w:val="1"/>
      <w:marLeft w:val="0"/>
      <w:marRight w:val="0"/>
      <w:marTop w:val="0"/>
      <w:marBottom w:val="0"/>
      <w:divBdr>
        <w:top w:val="none" w:sz="0" w:space="0" w:color="auto"/>
        <w:left w:val="none" w:sz="0" w:space="0" w:color="auto"/>
        <w:bottom w:val="none" w:sz="0" w:space="0" w:color="auto"/>
        <w:right w:val="none" w:sz="0" w:space="0" w:color="auto"/>
      </w:divBdr>
    </w:div>
    <w:div w:id="1342201979">
      <w:bodyDiv w:val="1"/>
      <w:marLeft w:val="0"/>
      <w:marRight w:val="0"/>
      <w:marTop w:val="0"/>
      <w:marBottom w:val="0"/>
      <w:divBdr>
        <w:top w:val="none" w:sz="0" w:space="0" w:color="auto"/>
        <w:left w:val="none" w:sz="0" w:space="0" w:color="auto"/>
        <w:bottom w:val="none" w:sz="0" w:space="0" w:color="auto"/>
        <w:right w:val="none" w:sz="0" w:space="0" w:color="auto"/>
      </w:divBdr>
    </w:div>
    <w:div w:id="1345326596">
      <w:bodyDiv w:val="1"/>
      <w:marLeft w:val="0"/>
      <w:marRight w:val="0"/>
      <w:marTop w:val="0"/>
      <w:marBottom w:val="0"/>
      <w:divBdr>
        <w:top w:val="none" w:sz="0" w:space="0" w:color="auto"/>
        <w:left w:val="none" w:sz="0" w:space="0" w:color="auto"/>
        <w:bottom w:val="none" w:sz="0" w:space="0" w:color="auto"/>
        <w:right w:val="none" w:sz="0" w:space="0" w:color="auto"/>
      </w:divBdr>
    </w:div>
    <w:div w:id="1363943886">
      <w:bodyDiv w:val="1"/>
      <w:marLeft w:val="0"/>
      <w:marRight w:val="0"/>
      <w:marTop w:val="0"/>
      <w:marBottom w:val="0"/>
      <w:divBdr>
        <w:top w:val="none" w:sz="0" w:space="0" w:color="auto"/>
        <w:left w:val="none" w:sz="0" w:space="0" w:color="auto"/>
        <w:bottom w:val="none" w:sz="0" w:space="0" w:color="auto"/>
        <w:right w:val="none" w:sz="0" w:space="0" w:color="auto"/>
      </w:divBdr>
    </w:div>
    <w:div w:id="1372028599">
      <w:bodyDiv w:val="1"/>
      <w:marLeft w:val="0"/>
      <w:marRight w:val="0"/>
      <w:marTop w:val="0"/>
      <w:marBottom w:val="0"/>
      <w:divBdr>
        <w:top w:val="none" w:sz="0" w:space="0" w:color="auto"/>
        <w:left w:val="none" w:sz="0" w:space="0" w:color="auto"/>
        <w:bottom w:val="none" w:sz="0" w:space="0" w:color="auto"/>
        <w:right w:val="none" w:sz="0" w:space="0" w:color="auto"/>
      </w:divBdr>
    </w:div>
    <w:div w:id="1388259987">
      <w:bodyDiv w:val="1"/>
      <w:marLeft w:val="0"/>
      <w:marRight w:val="0"/>
      <w:marTop w:val="0"/>
      <w:marBottom w:val="0"/>
      <w:divBdr>
        <w:top w:val="none" w:sz="0" w:space="0" w:color="auto"/>
        <w:left w:val="none" w:sz="0" w:space="0" w:color="auto"/>
        <w:bottom w:val="none" w:sz="0" w:space="0" w:color="auto"/>
        <w:right w:val="none" w:sz="0" w:space="0" w:color="auto"/>
      </w:divBdr>
    </w:div>
    <w:div w:id="1391465451">
      <w:bodyDiv w:val="1"/>
      <w:marLeft w:val="0"/>
      <w:marRight w:val="0"/>
      <w:marTop w:val="0"/>
      <w:marBottom w:val="0"/>
      <w:divBdr>
        <w:top w:val="none" w:sz="0" w:space="0" w:color="auto"/>
        <w:left w:val="none" w:sz="0" w:space="0" w:color="auto"/>
        <w:bottom w:val="none" w:sz="0" w:space="0" w:color="auto"/>
        <w:right w:val="none" w:sz="0" w:space="0" w:color="auto"/>
      </w:divBdr>
    </w:div>
    <w:div w:id="1397436699">
      <w:bodyDiv w:val="1"/>
      <w:marLeft w:val="0"/>
      <w:marRight w:val="0"/>
      <w:marTop w:val="0"/>
      <w:marBottom w:val="0"/>
      <w:divBdr>
        <w:top w:val="none" w:sz="0" w:space="0" w:color="auto"/>
        <w:left w:val="none" w:sz="0" w:space="0" w:color="auto"/>
        <w:bottom w:val="none" w:sz="0" w:space="0" w:color="auto"/>
        <w:right w:val="none" w:sz="0" w:space="0" w:color="auto"/>
      </w:divBdr>
    </w:div>
    <w:div w:id="1424719219">
      <w:bodyDiv w:val="1"/>
      <w:marLeft w:val="0"/>
      <w:marRight w:val="0"/>
      <w:marTop w:val="0"/>
      <w:marBottom w:val="0"/>
      <w:divBdr>
        <w:top w:val="none" w:sz="0" w:space="0" w:color="auto"/>
        <w:left w:val="none" w:sz="0" w:space="0" w:color="auto"/>
        <w:bottom w:val="none" w:sz="0" w:space="0" w:color="auto"/>
        <w:right w:val="none" w:sz="0" w:space="0" w:color="auto"/>
      </w:divBdr>
      <w:divsChild>
        <w:div w:id="1288658318">
          <w:marLeft w:val="0"/>
          <w:marRight w:val="0"/>
          <w:marTop w:val="0"/>
          <w:marBottom w:val="0"/>
          <w:divBdr>
            <w:top w:val="none" w:sz="0" w:space="0" w:color="auto"/>
            <w:left w:val="none" w:sz="0" w:space="0" w:color="auto"/>
            <w:bottom w:val="none" w:sz="0" w:space="0" w:color="auto"/>
            <w:right w:val="none" w:sz="0" w:space="0" w:color="auto"/>
          </w:divBdr>
        </w:div>
        <w:div w:id="980958011">
          <w:marLeft w:val="0"/>
          <w:marRight w:val="0"/>
          <w:marTop w:val="0"/>
          <w:marBottom w:val="0"/>
          <w:divBdr>
            <w:top w:val="none" w:sz="0" w:space="0" w:color="auto"/>
            <w:left w:val="none" w:sz="0" w:space="0" w:color="auto"/>
            <w:bottom w:val="none" w:sz="0" w:space="0" w:color="auto"/>
            <w:right w:val="none" w:sz="0" w:space="0" w:color="auto"/>
          </w:divBdr>
        </w:div>
      </w:divsChild>
    </w:div>
    <w:div w:id="1439183236">
      <w:bodyDiv w:val="1"/>
      <w:marLeft w:val="0"/>
      <w:marRight w:val="0"/>
      <w:marTop w:val="0"/>
      <w:marBottom w:val="0"/>
      <w:divBdr>
        <w:top w:val="none" w:sz="0" w:space="0" w:color="auto"/>
        <w:left w:val="none" w:sz="0" w:space="0" w:color="auto"/>
        <w:bottom w:val="none" w:sz="0" w:space="0" w:color="auto"/>
        <w:right w:val="none" w:sz="0" w:space="0" w:color="auto"/>
      </w:divBdr>
    </w:div>
    <w:div w:id="1476289770">
      <w:bodyDiv w:val="1"/>
      <w:marLeft w:val="0"/>
      <w:marRight w:val="0"/>
      <w:marTop w:val="0"/>
      <w:marBottom w:val="0"/>
      <w:divBdr>
        <w:top w:val="none" w:sz="0" w:space="0" w:color="auto"/>
        <w:left w:val="none" w:sz="0" w:space="0" w:color="auto"/>
        <w:bottom w:val="none" w:sz="0" w:space="0" w:color="auto"/>
        <w:right w:val="none" w:sz="0" w:space="0" w:color="auto"/>
      </w:divBdr>
    </w:div>
    <w:div w:id="1482770236">
      <w:bodyDiv w:val="1"/>
      <w:marLeft w:val="0"/>
      <w:marRight w:val="0"/>
      <w:marTop w:val="0"/>
      <w:marBottom w:val="0"/>
      <w:divBdr>
        <w:top w:val="none" w:sz="0" w:space="0" w:color="auto"/>
        <w:left w:val="none" w:sz="0" w:space="0" w:color="auto"/>
        <w:bottom w:val="none" w:sz="0" w:space="0" w:color="auto"/>
        <w:right w:val="none" w:sz="0" w:space="0" w:color="auto"/>
      </w:divBdr>
    </w:div>
    <w:div w:id="1492520427">
      <w:bodyDiv w:val="1"/>
      <w:marLeft w:val="0"/>
      <w:marRight w:val="0"/>
      <w:marTop w:val="0"/>
      <w:marBottom w:val="0"/>
      <w:divBdr>
        <w:top w:val="none" w:sz="0" w:space="0" w:color="auto"/>
        <w:left w:val="none" w:sz="0" w:space="0" w:color="auto"/>
        <w:bottom w:val="none" w:sz="0" w:space="0" w:color="auto"/>
        <w:right w:val="none" w:sz="0" w:space="0" w:color="auto"/>
      </w:divBdr>
    </w:div>
    <w:div w:id="1524787485">
      <w:bodyDiv w:val="1"/>
      <w:marLeft w:val="0"/>
      <w:marRight w:val="0"/>
      <w:marTop w:val="0"/>
      <w:marBottom w:val="0"/>
      <w:divBdr>
        <w:top w:val="none" w:sz="0" w:space="0" w:color="auto"/>
        <w:left w:val="none" w:sz="0" w:space="0" w:color="auto"/>
        <w:bottom w:val="none" w:sz="0" w:space="0" w:color="auto"/>
        <w:right w:val="none" w:sz="0" w:space="0" w:color="auto"/>
      </w:divBdr>
    </w:div>
    <w:div w:id="1549561287">
      <w:bodyDiv w:val="1"/>
      <w:marLeft w:val="0"/>
      <w:marRight w:val="0"/>
      <w:marTop w:val="0"/>
      <w:marBottom w:val="0"/>
      <w:divBdr>
        <w:top w:val="none" w:sz="0" w:space="0" w:color="auto"/>
        <w:left w:val="none" w:sz="0" w:space="0" w:color="auto"/>
        <w:bottom w:val="none" w:sz="0" w:space="0" w:color="auto"/>
        <w:right w:val="none" w:sz="0" w:space="0" w:color="auto"/>
      </w:divBdr>
    </w:div>
    <w:div w:id="1558659674">
      <w:bodyDiv w:val="1"/>
      <w:marLeft w:val="0"/>
      <w:marRight w:val="0"/>
      <w:marTop w:val="0"/>
      <w:marBottom w:val="0"/>
      <w:divBdr>
        <w:top w:val="none" w:sz="0" w:space="0" w:color="auto"/>
        <w:left w:val="none" w:sz="0" w:space="0" w:color="auto"/>
        <w:bottom w:val="none" w:sz="0" w:space="0" w:color="auto"/>
        <w:right w:val="none" w:sz="0" w:space="0" w:color="auto"/>
      </w:divBdr>
    </w:div>
    <w:div w:id="1564176176">
      <w:bodyDiv w:val="1"/>
      <w:marLeft w:val="0"/>
      <w:marRight w:val="0"/>
      <w:marTop w:val="0"/>
      <w:marBottom w:val="0"/>
      <w:divBdr>
        <w:top w:val="none" w:sz="0" w:space="0" w:color="auto"/>
        <w:left w:val="none" w:sz="0" w:space="0" w:color="auto"/>
        <w:bottom w:val="none" w:sz="0" w:space="0" w:color="auto"/>
        <w:right w:val="none" w:sz="0" w:space="0" w:color="auto"/>
      </w:divBdr>
    </w:div>
    <w:div w:id="1565069463">
      <w:bodyDiv w:val="1"/>
      <w:marLeft w:val="0"/>
      <w:marRight w:val="0"/>
      <w:marTop w:val="0"/>
      <w:marBottom w:val="0"/>
      <w:divBdr>
        <w:top w:val="none" w:sz="0" w:space="0" w:color="auto"/>
        <w:left w:val="none" w:sz="0" w:space="0" w:color="auto"/>
        <w:bottom w:val="none" w:sz="0" w:space="0" w:color="auto"/>
        <w:right w:val="none" w:sz="0" w:space="0" w:color="auto"/>
      </w:divBdr>
    </w:div>
    <w:div w:id="1618293706">
      <w:bodyDiv w:val="1"/>
      <w:marLeft w:val="0"/>
      <w:marRight w:val="0"/>
      <w:marTop w:val="0"/>
      <w:marBottom w:val="0"/>
      <w:divBdr>
        <w:top w:val="none" w:sz="0" w:space="0" w:color="auto"/>
        <w:left w:val="none" w:sz="0" w:space="0" w:color="auto"/>
        <w:bottom w:val="none" w:sz="0" w:space="0" w:color="auto"/>
        <w:right w:val="none" w:sz="0" w:space="0" w:color="auto"/>
      </w:divBdr>
    </w:div>
    <w:div w:id="1622953581">
      <w:bodyDiv w:val="1"/>
      <w:marLeft w:val="0"/>
      <w:marRight w:val="0"/>
      <w:marTop w:val="0"/>
      <w:marBottom w:val="0"/>
      <w:divBdr>
        <w:top w:val="none" w:sz="0" w:space="0" w:color="auto"/>
        <w:left w:val="none" w:sz="0" w:space="0" w:color="auto"/>
        <w:bottom w:val="none" w:sz="0" w:space="0" w:color="auto"/>
        <w:right w:val="none" w:sz="0" w:space="0" w:color="auto"/>
      </w:divBdr>
    </w:div>
    <w:div w:id="1653362110">
      <w:bodyDiv w:val="1"/>
      <w:marLeft w:val="0"/>
      <w:marRight w:val="0"/>
      <w:marTop w:val="0"/>
      <w:marBottom w:val="0"/>
      <w:divBdr>
        <w:top w:val="none" w:sz="0" w:space="0" w:color="auto"/>
        <w:left w:val="none" w:sz="0" w:space="0" w:color="auto"/>
        <w:bottom w:val="none" w:sz="0" w:space="0" w:color="auto"/>
        <w:right w:val="none" w:sz="0" w:space="0" w:color="auto"/>
      </w:divBdr>
    </w:div>
    <w:div w:id="1662082861">
      <w:bodyDiv w:val="1"/>
      <w:marLeft w:val="0"/>
      <w:marRight w:val="0"/>
      <w:marTop w:val="0"/>
      <w:marBottom w:val="0"/>
      <w:divBdr>
        <w:top w:val="none" w:sz="0" w:space="0" w:color="auto"/>
        <w:left w:val="none" w:sz="0" w:space="0" w:color="auto"/>
        <w:bottom w:val="none" w:sz="0" w:space="0" w:color="auto"/>
        <w:right w:val="none" w:sz="0" w:space="0" w:color="auto"/>
      </w:divBdr>
    </w:div>
    <w:div w:id="1675765957">
      <w:bodyDiv w:val="1"/>
      <w:marLeft w:val="0"/>
      <w:marRight w:val="0"/>
      <w:marTop w:val="0"/>
      <w:marBottom w:val="0"/>
      <w:divBdr>
        <w:top w:val="none" w:sz="0" w:space="0" w:color="auto"/>
        <w:left w:val="none" w:sz="0" w:space="0" w:color="auto"/>
        <w:bottom w:val="none" w:sz="0" w:space="0" w:color="auto"/>
        <w:right w:val="none" w:sz="0" w:space="0" w:color="auto"/>
      </w:divBdr>
    </w:div>
    <w:div w:id="1691444997">
      <w:bodyDiv w:val="1"/>
      <w:marLeft w:val="0"/>
      <w:marRight w:val="0"/>
      <w:marTop w:val="0"/>
      <w:marBottom w:val="0"/>
      <w:divBdr>
        <w:top w:val="none" w:sz="0" w:space="0" w:color="auto"/>
        <w:left w:val="none" w:sz="0" w:space="0" w:color="auto"/>
        <w:bottom w:val="none" w:sz="0" w:space="0" w:color="auto"/>
        <w:right w:val="none" w:sz="0" w:space="0" w:color="auto"/>
      </w:divBdr>
    </w:div>
    <w:div w:id="1709060665">
      <w:bodyDiv w:val="1"/>
      <w:marLeft w:val="0"/>
      <w:marRight w:val="0"/>
      <w:marTop w:val="0"/>
      <w:marBottom w:val="0"/>
      <w:divBdr>
        <w:top w:val="none" w:sz="0" w:space="0" w:color="auto"/>
        <w:left w:val="none" w:sz="0" w:space="0" w:color="auto"/>
        <w:bottom w:val="none" w:sz="0" w:space="0" w:color="auto"/>
        <w:right w:val="none" w:sz="0" w:space="0" w:color="auto"/>
      </w:divBdr>
    </w:div>
    <w:div w:id="1721125812">
      <w:bodyDiv w:val="1"/>
      <w:marLeft w:val="0"/>
      <w:marRight w:val="0"/>
      <w:marTop w:val="0"/>
      <w:marBottom w:val="0"/>
      <w:divBdr>
        <w:top w:val="none" w:sz="0" w:space="0" w:color="auto"/>
        <w:left w:val="none" w:sz="0" w:space="0" w:color="auto"/>
        <w:bottom w:val="none" w:sz="0" w:space="0" w:color="auto"/>
        <w:right w:val="none" w:sz="0" w:space="0" w:color="auto"/>
      </w:divBdr>
    </w:div>
    <w:div w:id="1736852921">
      <w:bodyDiv w:val="1"/>
      <w:marLeft w:val="0"/>
      <w:marRight w:val="0"/>
      <w:marTop w:val="0"/>
      <w:marBottom w:val="0"/>
      <w:divBdr>
        <w:top w:val="none" w:sz="0" w:space="0" w:color="auto"/>
        <w:left w:val="none" w:sz="0" w:space="0" w:color="auto"/>
        <w:bottom w:val="none" w:sz="0" w:space="0" w:color="auto"/>
        <w:right w:val="none" w:sz="0" w:space="0" w:color="auto"/>
      </w:divBdr>
    </w:div>
    <w:div w:id="1737049330">
      <w:bodyDiv w:val="1"/>
      <w:marLeft w:val="0"/>
      <w:marRight w:val="0"/>
      <w:marTop w:val="0"/>
      <w:marBottom w:val="0"/>
      <w:divBdr>
        <w:top w:val="none" w:sz="0" w:space="0" w:color="auto"/>
        <w:left w:val="none" w:sz="0" w:space="0" w:color="auto"/>
        <w:bottom w:val="none" w:sz="0" w:space="0" w:color="auto"/>
        <w:right w:val="none" w:sz="0" w:space="0" w:color="auto"/>
      </w:divBdr>
    </w:div>
    <w:div w:id="1773283476">
      <w:bodyDiv w:val="1"/>
      <w:marLeft w:val="0"/>
      <w:marRight w:val="0"/>
      <w:marTop w:val="0"/>
      <w:marBottom w:val="0"/>
      <w:divBdr>
        <w:top w:val="none" w:sz="0" w:space="0" w:color="auto"/>
        <w:left w:val="none" w:sz="0" w:space="0" w:color="auto"/>
        <w:bottom w:val="none" w:sz="0" w:space="0" w:color="auto"/>
        <w:right w:val="none" w:sz="0" w:space="0" w:color="auto"/>
      </w:divBdr>
    </w:div>
    <w:div w:id="1792819551">
      <w:bodyDiv w:val="1"/>
      <w:marLeft w:val="0"/>
      <w:marRight w:val="0"/>
      <w:marTop w:val="0"/>
      <w:marBottom w:val="0"/>
      <w:divBdr>
        <w:top w:val="none" w:sz="0" w:space="0" w:color="auto"/>
        <w:left w:val="none" w:sz="0" w:space="0" w:color="auto"/>
        <w:bottom w:val="none" w:sz="0" w:space="0" w:color="auto"/>
        <w:right w:val="none" w:sz="0" w:space="0" w:color="auto"/>
      </w:divBdr>
    </w:div>
    <w:div w:id="1807041748">
      <w:bodyDiv w:val="1"/>
      <w:marLeft w:val="0"/>
      <w:marRight w:val="0"/>
      <w:marTop w:val="0"/>
      <w:marBottom w:val="0"/>
      <w:divBdr>
        <w:top w:val="none" w:sz="0" w:space="0" w:color="auto"/>
        <w:left w:val="none" w:sz="0" w:space="0" w:color="auto"/>
        <w:bottom w:val="none" w:sz="0" w:space="0" w:color="auto"/>
        <w:right w:val="none" w:sz="0" w:space="0" w:color="auto"/>
      </w:divBdr>
    </w:div>
    <w:div w:id="1819375775">
      <w:bodyDiv w:val="1"/>
      <w:marLeft w:val="0"/>
      <w:marRight w:val="0"/>
      <w:marTop w:val="0"/>
      <w:marBottom w:val="0"/>
      <w:divBdr>
        <w:top w:val="none" w:sz="0" w:space="0" w:color="auto"/>
        <w:left w:val="none" w:sz="0" w:space="0" w:color="auto"/>
        <w:bottom w:val="none" w:sz="0" w:space="0" w:color="auto"/>
        <w:right w:val="none" w:sz="0" w:space="0" w:color="auto"/>
      </w:divBdr>
    </w:div>
    <w:div w:id="1826049494">
      <w:bodyDiv w:val="1"/>
      <w:marLeft w:val="0"/>
      <w:marRight w:val="0"/>
      <w:marTop w:val="0"/>
      <w:marBottom w:val="0"/>
      <w:divBdr>
        <w:top w:val="none" w:sz="0" w:space="0" w:color="auto"/>
        <w:left w:val="none" w:sz="0" w:space="0" w:color="auto"/>
        <w:bottom w:val="none" w:sz="0" w:space="0" w:color="auto"/>
        <w:right w:val="none" w:sz="0" w:space="0" w:color="auto"/>
      </w:divBdr>
    </w:div>
    <w:div w:id="1826513357">
      <w:bodyDiv w:val="1"/>
      <w:marLeft w:val="0"/>
      <w:marRight w:val="0"/>
      <w:marTop w:val="0"/>
      <w:marBottom w:val="0"/>
      <w:divBdr>
        <w:top w:val="none" w:sz="0" w:space="0" w:color="auto"/>
        <w:left w:val="none" w:sz="0" w:space="0" w:color="auto"/>
        <w:bottom w:val="none" w:sz="0" w:space="0" w:color="auto"/>
        <w:right w:val="none" w:sz="0" w:space="0" w:color="auto"/>
      </w:divBdr>
      <w:divsChild>
        <w:div w:id="253320361">
          <w:marLeft w:val="0"/>
          <w:marRight w:val="0"/>
          <w:marTop w:val="0"/>
          <w:marBottom w:val="0"/>
          <w:divBdr>
            <w:top w:val="none" w:sz="0" w:space="0" w:color="auto"/>
            <w:left w:val="none" w:sz="0" w:space="0" w:color="auto"/>
            <w:bottom w:val="none" w:sz="0" w:space="0" w:color="auto"/>
            <w:right w:val="none" w:sz="0" w:space="0" w:color="auto"/>
          </w:divBdr>
        </w:div>
      </w:divsChild>
    </w:div>
    <w:div w:id="1844858028">
      <w:bodyDiv w:val="1"/>
      <w:marLeft w:val="0"/>
      <w:marRight w:val="0"/>
      <w:marTop w:val="0"/>
      <w:marBottom w:val="0"/>
      <w:divBdr>
        <w:top w:val="none" w:sz="0" w:space="0" w:color="auto"/>
        <w:left w:val="none" w:sz="0" w:space="0" w:color="auto"/>
        <w:bottom w:val="none" w:sz="0" w:space="0" w:color="auto"/>
        <w:right w:val="none" w:sz="0" w:space="0" w:color="auto"/>
      </w:divBdr>
    </w:div>
    <w:div w:id="1858078224">
      <w:bodyDiv w:val="1"/>
      <w:marLeft w:val="0"/>
      <w:marRight w:val="0"/>
      <w:marTop w:val="0"/>
      <w:marBottom w:val="0"/>
      <w:divBdr>
        <w:top w:val="none" w:sz="0" w:space="0" w:color="auto"/>
        <w:left w:val="none" w:sz="0" w:space="0" w:color="auto"/>
        <w:bottom w:val="none" w:sz="0" w:space="0" w:color="auto"/>
        <w:right w:val="none" w:sz="0" w:space="0" w:color="auto"/>
      </w:divBdr>
    </w:div>
    <w:div w:id="1861815870">
      <w:bodyDiv w:val="1"/>
      <w:marLeft w:val="0"/>
      <w:marRight w:val="0"/>
      <w:marTop w:val="0"/>
      <w:marBottom w:val="0"/>
      <w:divBdr>
        <w:top w:val="none" w:sz="0" w:space="0" w:color="auto"/>
        <w:left w:val="none" w:sz="0" w:space="0" w:color="auto"/>
        <w:bottom w:val="none" w:sz="0" w:space="0" w:color="auto"/>
        <w:right w:val="none" w:sz="0" w:space="0" w:color="auto"/>
      </w:divBdr>
    </w:div>
    <w:div w:id="1883177651">
      <w:bodyDiv w:val="1"/>
      <w:marLeft w:val="0"/>
      <w:marRight w:val="0"/>
      <w:marTop w:val="0"/>
      <w:marBottom w:val="0"/>
      <w:divBdr>
        <w:top w:val="none" w:sz="0" w:space="0" w:color="auto"/>
        <w:left w:val="none" w:sz="0" w:space="0" w:color="auto"/>
        <w:bottom w:val="none" w:sz="0" w:space="0" w:color="auto"/>
        <w:right w:val="none" w:sz="0" w:space="0" w:color="auto"/>
      </w:divBdr>
    </w:div>
    <w:div w:id="1909341414">
      <w:bodyDiv w:val="1"/>
      <w:marLeft w:val="0"/>
      <w:marRight w:val="0"/>
      <w:marTop w:val="0"/>
      <w:marBottom w:val="0"/>
      <w:divBdr>
        <w:top w:val="none" w:sz="0" w:space="0" w:color="auto"/>
        <w:left w:val="none" w:sz="0" w:space="0" w:color="auto"/>
        <w:bottom w:val="none" w:sz="0" w:space="0" w:color="auto"/>
        <w:right w:val="none" w:sz="0" w:space="0" w:color="auto"/>
      </w:divBdr>
    </w:div>
    <w:div w:id="1946691992">
      <w:bodyDiv w:val="1"/>
      <w:marLeft w:val="0"/>
      <w:marRight w:val="0"/>
      <w:marTop w:val="0"/>
      <w:marBottom w:val="0"/>
      <w:divBdr>
        <w:top w:val="none" w:sz="0" w:space="0" w:color="auto"/>
        <w:left w:val="none" w:sz="0" w:space="0" w:color="auto"/>
        <w:bottom w:val="none" w:sz="0" w:space="0" w:color="auto"/>
        <w:right w:val="none" w:sz="0" w:space="0" w:color="auto"/>
      </w:divBdr>
    </w:div>
    <w:div w:id="1965576537">
      <w:bodyDiv w:val="1"/>
      <w:marLeft w:val="0"/>
      <w:marRight w:val="0"/>
      <w:marTop w:val="0"/>
      <w:marBottom w:val="0"/>
      <w:divBdr>
        <w:top w:val="none" w:sz="0" w:space="0" w:color="auto"/>
        <w:left w:val="none" w:sz="0" w:space="0" w:color="auto"/>
        <w:bottom w:val="none" w:sz="0" w:space="0" w:color="auto"/>
        <w:right w:val="none" w:sz="0" w:space="0" w:color="auto"/>
      </w:divBdr>
    </w:div>
    <w:div w:id="1984118167">
      <w:bodyDiv w:val="1"/>
      <w:marLeft w:val="0"/>
      <w:marRight w:val="0"/>
      <w:marTop w:val="0"/>
      <w:marBottom w:val="0"/>
      <w:divBdr>
        <w:top w:val="none" w:sz="0" w:space="0" w:color="auto"/>
        <w:left w:val="none" w:sz="0" w:space="0" w:color="auto"/>
        <w:bottom w:val="none" w:sz="0" w:space="0" w:color="auto"/>
        <w:right w:val="none" w:sz="0" w:space="0" w:color="auto"/>
      </w:divBdr>
    </w:div>
    <w:div w:id="1991592621">
      <w:bodyDiv w:val="1"/>
      <w:marLeft w:val="0"/>
      <w:marRight w:val="0"/>
      <w:marTop w:val="0"/>
      <w:marBottom w:val="0"/>
      <w:divBdr>
        <w:top w:val="none" w:sz="0" w:space="0" w:color="auto"/>
        <w:left w:val="none" w:sz="0" w:space="0" w:color="auto"/>
        <w:bottom w:val="none" w:sz="0" w:space="0" w:color="auto"/>
        <w:right w:val="none" w:sz="0" w:space="0" w:color="auto"/>
      </w:divBdr>
    </w:div>
    <w:div w:id="1993560586">
      <w:bodyDiv w:val="1"/>
      <w:marLeft w:val="0"/>
      <w:marRight w:val="0"/>
      <w:marTop w:val="0"/>
      <w:marBottom w:val="0"/>
      <w:divBdr>
        <w:top w:val="none" w:sz="0" w:space="0" w:color="auto"/>
        <w:left w:val="none" w:sz="0" w:space="0" w:color="auto"/>
        <w:bottom w:val="none" w:sz="0" w:space="0" w:color="auto"/>
        <w:right w:val="none" w:sz="0" w:space="0" w:color="auto"/>
      </w:divBdr>
    </w:div>
    <w:div w:id="2006198589">
      <w:bodyDiv w:val="1"/>
      <w:marLeft w:val="0"/>
      <w:marRight w:val="0"/>
      <w:marTop w:val="0"/>
      <w:marBottom w:val="0"/>
      <w:divBdr>
        <w:top w:val="none" w:sz="0" w:space="0" w:color="auto"/>
        <w:left w:val="none" w:sz="0" w:space="0" w:color="auto"/>
        <w:bottom w:val="none" w:sz="0" w:space="0" w:color="auto"/>
        <w:right w:val="none" w:sz="0" w:space="0" w:color="auto"/>
      </w:divBdr>
    </w:div>
    <w:div w:id="2022732837">
      <w:bodyDiv w:val="1"/>
      <w:marLeft w:val="0"/>
      <w:marRight w:val="0"/>
      <w:marTop w:val="0"/>
      <w:marBottom w:val="0"/>
      <w:divBdr>
        <w:top w:val="none" w:sz="0" w:space="0" w:color="auto"/>
        <w:left w:val="none" w:sz="0" w:space="0" w:color="auto"/>
        <w:bottom w:val="none" w:sz="0" w:space="0" w:color="auto"/>
        <w:right w:val="none" w:sz="0" w:space="0" w:color="auto"/>
      </w:divBdr>
    </w:div>
    <w:div w:id="2023968483">
      <w:bodyDiv w:val="1"/>
      <w:marLeft w:val="0"/>
      <w:marRight w:val="0"/>
      <w:marTop w:val="0"/>
      <w:marBottom w:val="0"/>
      <w:divBdr>
        <w:top w:val="none" w:sz="0" w:space="0" w:color="auto"/>
        <w:left w:val="none" w:sz="0" w:space="0" w:color="auto"/>
        <w:bottom w:val="none" w:sz="0" w:space="0" w:color="auto"/>
        <w:right w:val="none" w:sz="0" w:space="0" w:color="auto"/>
      </w:divBdr>
    </w:div>
    <w:div w:id="2025548897">
      <w:bodyDiv w:val="1"/>
      <w:marLeft w:val="0"/>
      <w:marRight w:val="0"/>
      <w:marTop w:val="0"/>
      <w:marBottom w:val="0"/>
      <w:divBdr>
        <w:top w:val="none" w:sz="0" w:space="0" w:color="auto"/>
        <w:left w:val="none" w:sz="0" w:space="0" w:color="auto"/>
        <w:bottom w:val="none" w:sz="0" w:space="0" w:color="auto"/>
        <w:right w:val="none" w:sz="0" w:space="0" w:color="auto"/>
      </w:divBdr>
    </w:div>
    <w:div w:id="2065442502">
      <w:bodyDiv w:val="1"/>
      <w:marLeft w:val="0"/>
      <w:marRight w:val="0"/>
      <w:marTop w:val="0"/>
      <w:marBottom w:val="0"/>
      <w:divBdr>
        <w:top w:val="none" w:sz="0" w:space="0" w:color="auto"/>
        <w:left w:val="none" w:sz="0" w:space="0" w:color="auto"/>
        <w:bottom w:val="none" w:sz="0" w:space="0" w:color="auto"/>
        <w:right w:val="none" w:sz="0" w:space="0" w:color="auto"/>
      </w:divBdr>
    </w:div>
    <w:div w:id="2082176122">
      <w:bodyDiv w:val="1"/>
      <w:marLeft w:val="0"/>
      <w:marRight w:val="0"/>
      <w:marTop w:val="0"/>
      <w:marBottom w:val="0"/>
      <w:divBdr>
        <w:top w:val="none" w:sz="0" w:space="0" w:color="auto"/>
        <w:left w:val="none" w:sz="0" w:space="0" w:color="auto"/>
        <w:bottom w:val="none" w:sz="0" w:space="0" w:color="auto"/>
        <w:right w:val="none" w:sz="0" w:space="0" w:color="auto"/>
      </w:divBdr>
      <w:divsChild>
        <w:div w:id="2059434042">
          <w:marLeft w:val="0"/>
          <w:marRight w:val="0"/>
          <w:marTop w:val="0"/>
          <w:marBottom w:val="0"/>
          <w:divBdr>
            <w:top w:val="none" w:sz="0" w:space="0" w:color="auto"/>
            <w:left w:val="none" w:sz="0" w:space="0" w:color="auto"/>
            <w:bottom w:val="none" w:sz="0" w:space="0" w:color="auto"/>
            <w:right w:val="none" w:sz="0" w:space="0" w:color="auto"/>
          </w:divBdr>
          <w:divsChild>
            <w:div w:id="1005670392">
              <w:marLeft w:val="0"/>
              <w:marRight w:val="0"/>
              <w:marTop w:val="0"/>
              <w:marBottom w:val="0"/>
              <w:divBdr>
                <w:top w:val="none" w:sz="0" w:space="0" w:color="auto"/>
                <w:left w:val="none" w:sz="0" w:space="0" w:color="auto"/>
                <w:bottom w:val="none" w:sz="0" w:space="0" w:color="auto"/>
                <w:right w:val="none" w:sz="0" w:space="0" w:color="auto"/>
              </w:divBdr>
              <w:divsChild>
                <w:div w:id="126900922">
                  <w:marLeft w:val="0"/>
                  <w:marRight w:val="0"/>
                  <w:marTop w:val="0"/>
                  <w:marBottom w:val="0"/>
                  <w:divBdr>
                    <w:top w:val="none" w:sz="0" w:space="0" w:color="auto"/>
                    <w:left w:val="none" w:sz="0" w:space="0" w:color="auto"/>
                    <w:bottom w:val="none" w:sz="0" w:space="0" w:color="auto"/>
                    <w:right w:val="none" w:sz="0" w:space="0" w:color="auto"/>
                  </w:divBdr>
                  <w:divsChild>
                    <w:div w:id="265962771">
                      <w:marLeft w:val="0"/>
                      <w:marRight w:val="0"/>
                      <w:marTop w:val="0"/>
                      <w:marBottom w:val="0"/>
                      <w:divBdr>
                        <w:top w:val="none" w:sz="0" w:space="0" w:color="auto"/>
                        <w:left w:val="none" w:sz="0" w:space="0" w:color="auto"/>
                        <w:bottom w:val="none" w:sz="0" w:space="0" w:color="auto"/>
                        <w:right w:val="none" w:sz="0" w:space="0" w:color="auto"/>
                      </w:divBdr>
                      <w:divsChild>
                        <w:div w:id="1181050157">
                          <w:marLeft w:val="0"/>
                          <w:marRight w:val="0"/>
                          <w:marTop w:val="0"/>
                          <w:marBottom w:val="0"/>
                          <w:divBdr>
                            <w:top w:val="none" w:sz="0" w:space="0" w:color="auto"/>
                            <w:left w:val="none" w:sz="0" w:space="0" w:color="auto"/>
                            <w:bottom w:val="none" w:sz="0" w:space="0" w:color="auto"/>
                            <w:right w:val="none" w:sz="0" w:space="0" w:color="auto"/>
                          </w:divBdr>
                        </w:div>
                      </w:divsChild>
                    </w:div>
                    <w:div w:id="753362457">
                      <w:marLeft w:val="0"/>
                      <w:marRight w:val="0"/>
                      <w:marTop w:val="0"/>
                      <w:marBottom w:val="0"/>
                      <w:divBdr>
                        <w:top w:val="none" w:sz="0" w:space="0" w:color="auto"/>
                        <w:left w:val="none" w:sz="0" w:space="0" w:color="auto"/>
                        <w:bottom w:val="none" w:sz="0" w:space="0" w:color="auto"/>
                        <w:right w:val="none" w:sz="0" w:space="0" w:color="auto"/>
                      </w:divBdr>
                      <w:divsChild>
                        <w:div w:id="535775979">
                          <w:marLeft w:val="0"/>
                          <w:marRight w:val="0"/>
                          <w:marTop w:val="0"/>
                          <w:marBottom w:val="0"/>
                          <w:divBdr>
                            <w:top w:val="none" w:sz="0" w:space="0" w:color="auto"/>
                            <w:left w:val="none" w:sz="0" w:space="0" w:color="auto"/>
                            <w:bottom w:val="none" w:sz="0" w:space="0" w:color="auto"/>
                            <w:right w:val="none" w:sz="0" w:space="0" w:color="auto"/>
                          </w:divBdr>
                        </w:div>
                      </w:divsChild>
                    </w:div>
                    <w:div w:id="1064063814">
                      <w:marLeft w:val="0"/>
                      <w:marRight w:val="0"/>
                      <w:marTop w:val="0"/>
                      <w:marBottom w:val="0"/>
                      <w:divBdr>
                        <w:top w:val="none" w:sz="0" w:space="0" w:color="auto"/>
                        <w:left w:val="none" w:sz="0" w:space="0" w:color="auto"/>
                        <w:bottom w:val="none" w:sz="0" w:space="0" w:color="auto"/>
                        <w:right w:val="none" w:sz="0" w:space="0" w:color="auto"/>
                      </w:divBdr>
                      <w:divsChild>
                        <w:div w:id="1630237495">
                          <w:marLeft w:val="0"/>
                          <w:marRight w:val="0"/>
                          <w:marTop w:val="0"/>
                          <w:marBottom w:val="0"/>
                          <w:divBdr>
                            <w:top w:val="none" w:sz="0" w:space="0" w:color="auto"/>
                            <w:left w:val="none" w:sz="0" w:space="0" w:color="auto"/>
                            <w:bottom w:val="none" w:sz="0" w:space="0" w:color="auto"/>
                            <w:right w:val="none" w:sz="0" w:space="0" w:color="auto"/>
                          </w:divBdr>
                        </w:div>
                      </w:divsChild>
                    </w:div>
                    <w:div w:id="1176725025">
                      <w:marLeft w:val="0"/>
                      <w:marRight w:val="0"/>
                      <w:marTop w:val="0"/>
                      <w:marBottom w:val="0"/>
                      <w:divBdr>
                        <w:top w:val="none" w:sz="0" w:space="0" w:color="auto"/>
                        <w:left w:val="none" w:sz="0" w:space="0" w:color="auto"/>
                        <w:bottom w:val="none" w:sz="0" w:space="0" w:color="auto"/>
                        <w:right w:val="none" w:sz="0" w:space="0" w:color="auto"/>
                      </w:divBdr>
                      <w:divsChild>
                        <w:div w:id="1572228303">
                          <w:marLeft w:val="0"/>
                          <w:marRight w:val="0"/>
                          <w:marTop w:val="0"/>
                          <w:marBottom w:val="0"/>
                          <w:divBdr>
                            <w:top w:val="none" w:sz="0" w:space="0" w:color="auto"/>
                            <w:left w:val="none" w:sz="0" w:space="0" w:color="auto"/>
                            <w:bottom w:val="none" w:sz="0" w:space="0" w:color="auto"/>
                            <w:right w:val="none" w:sz="0" w:space="0" w:color="auto"/>
                          </w:divBdr>
                        </w:div>
                      </w:divsChild>
                    </w:div>
                    <w:div w:id="1308634411">
                      <w:marLeft w:val="0"/>
                      <w:marRight w:val="0"/>
                      <w:marTop w:val="0"/>
                      <w:marBottom w:val="0"/>
                      <w:divBdr>
                        <w:top w:val="none" w:sz="0" w:space="0" w:color="auto"/>
                        <w:left w:val="none" w:sz="0" w:space="0" w:color="auto"/>
                        <w:bottom w:val="none" w:sz="0" w:space="0" w:color="auto"/>
                        <w:right w:val="none" w:sz="0" w:space="0" w:color="auto"/>
                      </w:divBdr>
                      <w:divsChild>
                        <w:div w:id="121848239">
                          <w:marLeft w:val="0"/>
                          <w:marRight w:val="0"/>
                          <w:marTop w:val="0"/>
                          <w:marBottom w:val="0"/>
                          <w:divBdr>
                            <w:top w:val="none" w:sz="0" w:space="0" w:color="auto"/>
                            <w:left w:val="none" w:sz="0" w:space="0" w:color="auto"/>
                            <w:bottom w:val="none" w:sz="0" w:space="0" w:color="auto"/>
                            <w:right w:val="none" w:sz="0" w:space="0" w:color="auto"/>
                          </w:divBdr>
                        </w:div>
                        <w:div w:id="1146320908">
                          <w:marLeft w:val="0"/>
                          <w:marRight w:val="0"/>
                          <w:marTop w:val="0"/>
                          <w:marBottom w:val="0"/>
                          <w:divBdr>
                            <w:top w:val="none" w:sz="0" w:space="0" w:color="auto"/>
                            <w:left w:val="none" w:sz="0" w:space="0" w:color="auto"/>
                            <w:bottom w:val="none" w:sz="0" w:space="0" w:color="auto"/>
                            <w:right w:val="none" w:sz="0" w:space="0" w:color="auto"/>
                          </w:divBdr>
                        </w:div>
                        <w:div w:id="1638946954">
                          <w:marLeft w:val="0"/>
                          <w:marRight w:val="0"/>
                          <w:marTop w:val="0"/>
                          <w:marBottom w:val="0"/>
                          <w:divBdr>
                            <w:top w:val="none" w:sz="0" w:space="0" w:color="auto"/>
                            <w:left w:val="none" w:sz="0" w:space="0" w:color="auto"/>
                            <w:bottom w:val="none" w:sz="0" w:space="0" w:color="auto"/>
                            <w:right w:val="none" w:sz="0" w:space="0" w:color="auto"/>
                          </w:divBdr>
                        </w:div>
                      </w:divsChild>
                    </w:div>
                    <w:div w:id="1953783736">
                      <w:marLeft w:val="0"/>
                      <w:marRight w:val="0"/>
                      <w:marTop w:val="0"/>
                      <w:marBottom w:val="0"/>
                      <w:divBdr>
                        <w:top w:val="none" w:sz="0" w:space="0" w:color="auto"/>
                        <w:left w:val="none" w:sz="0" w:space="0" w:color="auto"/>
                        <w:bottom w:val="none" w:sz="0" w:space="0" w:color="auto"/>
                        <w:right w:val="none" w:sz="0" w:space="0" w:color="auto"/>
                      </w:divBdr>
                      <w:divsChild>
                        <w:div w:id="4870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268726">
      <w:bodyDiv w:val="1"/>
      <w:marLeft w:val="0"/>
      <w:marRight w:val="0"/>
      <w:marTop w:val="0"/>
      <w:marBottom w:val="0"/>
      <w:divBdr>
        <w:top w:val="none" w:sz="0" w:space="0" w:color="auto"/>
        <w:left w:val="none" w:sz="0" w:space="0" w:color="auto"/>
        <w:bottom w:val="none" w:sz="0" w:space="0" w:color="auto"/>
        <w:right w:val="none" w:sz="0" w:space="0" w:color="auto"/>
      </w:divBdr>
    </w:div>
    <w:div w:id="2127505149">
      <w:bodyDiv w:val="1"/>
      <w:marLeft w:val="0"/>
      <w:marRight w:val="0"/>
      <w:marTop w:val="0"/>
      <w:marBottom w:val="0"/>
      <w:divBdr>
        <w:top w:val="none" w:sz="0" w:space="0" w:color="auto"/>
        <w:left w:val="none" w:sz="0" w:space="0" w:color="auto"/>
        <w:bottom w:val="none" w:sz="0" w:space="0" w:color="auto"/>
        <w:right w:val="none" w:sz="0" w:space="0" w:color="auto"/>
      </w:divBdr>
    </w:div>
    <w:div w:id="213204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Physics\EIC\SystemsEngineering\Interfaces\Release20260707\Templates\INFExtern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A5CA21E8D31D40818BB7CB8844EA21" ma:contentTypeVersion="11" ma:contentTypeDescription="Create a new document." ma:contentTypeScope="" ma:versionID="b1760fc0dde4e5f46cc540c802ebff85">
  <xsd:schema xmlns:xsd="http://www.w3.org/2001/XMLSchema" xmlns:xs="http://www.w3.org/2001/XMLSchema" xmlns:p="http://schemas.microsoft.com/office/2006/metadata/properties" xmlns:ns2="6671582b-2cdd-4988-ad21-73b8730351d8" xmlns:ns3="3bfd71d5-c7ac-4dca-b865-a609d1eb4074" targetNamespace="http://schemas.microsoft.com/office/2006/metadata/properties" ma:root="true" ma:fieldsID="69f015ff1c4ce246b0976a8a73960db1" ns2:_="" ns3:_="">
    <xsd:import namespace="6671582b-2cdd-4988-ad21-73b8730351d8"/>
    <xsd:import namespace="3bfd71d5-c7ac-4dca-b865-a609d1eb4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82b-2cdd-4988-ad21-73b873035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5a567-783b-4eae-ad25-f71283ef2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fd71d5-c7ac-4dca-b865-a609d1eb40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1a0df5-9a12-49e9-8865-351e10a89734}" ma:internalName="TaxCatchAll" ma:showField="CatchAllData" ma:web="dd7425a4-fa23-406d-b478-3c2992d2d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fd71d5-c7ac-4dca-b865-a609d1eb4074" xsi:nil="true"/>
    <lcf76f155ced4ddcb4097134ff3c332f xmlns="6671582b-2cdd-4988-ad21-73b8730351d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Nmerical.XSL" StyleName="ISO 690 - Numerical Reference" Version="1987">
  <b:Source>
    <b:Tag>Gro22</b:Tag>
    <b:SourceType>Report</b:SourceType>
    <b:Guid>{40C0D9C4-76FE-428F-A685-D4906F400F75}</b:Guid>
    <b:Author>
      <b:Author>
        <b:Corporate>EIC Systems Engineering Group</b:Corporate>
      </b:Author>
    </b:Author>
    <b:Title>Requirements Management Plan</b:Title>
    <b:Year>2022</b:Year>
    <b:City>Brookhaven, NY</b:City>
    <b:Publisher>Brookhaven National Laboratory</b:Publisher>
    <b:RefOrder>2</b:RefOrder>
  </b:Source>
  <b:Source>
    <b:Tag>EIC22</b:Tag>
    <b:SourceType>Report</b:SourceType>
    <b:Guid>{220FC076-7395-42CB-8F06-B878B7610B72}</b:Guid>
    <b:Author>
      <b:Author>
        <b:Corporate>EIC Systems Engineering Group</b:Corporate>
      </b:Author>
    </b:Author>
    <b:Title>Systems Engineering Plan</b:Title>
    <b:Year>2022</b:Year>
    <b:Publisher>Brookhaven National Laboratory</b:Publisher>
    <b:City>Brookhaven, NY</b:City>
    <b:RefOrder>3</b:RefOrder>
  </b:Source>
  <b:Source>
    <b:Tag>EIC221</b:Tag>
    <b:SourceType>Report</b:SourceType>
    <b:Guid>{EF5701AC-CED7-4A05-B52A-E77992F89CF0}</b:Guid>
    <b:Author>
      <b:Author>
        <b:Corporate>EIC Systems Engineering Group</b:Corporate>
      </b:Author>
    </b:Author>
    <b:Title>Interface Management Plan</b:Title>
    <b:Year>2022</b:Year>
    <b:Publisher>Brookhaven National Laboratory</b:Publisher>
    <b:City>Brookhaven, NY</b:City>
    <b:RefOrder>1</b:RefOrder>
  </b:Source>
</b:Sources>
</file>

<file path=customXml/itemProps1.xml><?xml version="1.0" encoding="utf-8"?>
<ds:datastoreItem xmlns:ds="http://schemas.openxmlformats.org/officeDocument/2006/customXml" ds:itemID="{BBA4E24D-8759-4581-8CB9-6C04E70A6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82b-2cdd-4988-ad21-73b8730351d8"/>
    <ds:schemaRef ds:uri="3bfd71d5-c7ac-4dca-b865-a609d1eb4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B6C92E-0770-4906-A263-97034D2D5189}">
  <ds:schemaRefs>
    <ds:schemaRef ds:uri="http://schemas.microsoft.com/office/2006/metadata/properties"/>
    <ds:schemaRef ds:uri="http://schemas.microsoft.com/office/infopath/2007/PartnerControls"/>
    <ds:schemaRef ds:uri="3bfd71d5-c7ac-4dca-b865-a609d1eb4074"/>
    <ds:schemaRef ds:uri="6671582b-2cdd-4988-ad21-73b8730351d8"/>
  </ds:schemaRefs>
</ds:datastoreItem>
</file>

<file path=customXml/itemProps3.xml><?xml version="1.0" encoding="utf-8"?>
<ds:datastoreItem xmlns:ds="http://schemas.openxmlformats.org/officeDocument/2006/customXml" ds:itemID="{4C537C19-5FE5-4533-BD68-0500B8AC71DB}">
  <ds:schemaRefs>
    <ds:schemaRef ds:uri="http://schemas.microsoft.com/sharepoint/v3/contenttype/forms"/>
  </ds:schemaRefs>
</ds:datastoreItem>
</file>

<file path=customXml/itemProps4.xml><?xml version="1.0" encoding="utf-8"?>
<ds:datastoreItem xmlns:ds="http://schemas.openxmlformats.org/officeDocument/2006/customXml" ds:itemID="{344BAC93-F55A-488D-B926-11CEE2DF1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INFExternalTemplate.DOTX</Template>
  <TotalTime>0</TotalTime>
  <Pages>14</Pages>
  <Words>9032</Words>
  <Characters>51487</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BoilerPlate Numbered Template</vt:lpstr>
    </vt:vector>
  </TitlesOfParts>
  <Company>JLAB</Company>
  <LinksUpToDate>false</LinksUpToDate>
  <CharactersWithSpaces>60399</CharactersWithSpaces>
  <SharedDoc>false</SharedDoc>
  <HLinks>
    <vt:vector size="234" baseType="variant">
      <vt:variant>
        <vt:i4>1638459</vt:i4>
      </vt:variant>
      <vt:variant>
        <vt:i4>230</vt:i4>
      </vt:variant>
      <vt:variant>
        <vt:i4>0</vt:i4>
      </vt:variant>
      <vt:variant>
        <vt:i4>5</vt:i4>
      </vt:variant>
      <vt:variant>
        <vt:lpwstr/>
      </vt:variant>
      <vt:variant>
        <vt:lpwstr>_Toc104880660</vt:lpwstr>
      </vt:variant>
      <vt:variant>
        <vt:i4>1703995</vt:i4>
      </vt:variant>
      <vt:variant>
        <vt:i4>224</vt:i4>
      </vt:variant>
      <vt:variant>
        <vt:i4>0</vt:i4>
      </vt:variant>
      <vt:variant>
        <vt:i4>5</vt:i4>
      </vt:variant>
      <vt:variant>
        <vt:lpwstr/>
      </vt:variant>
      <vt:variant>
        <vt:lpwstr>_Toc104880659</vt:lpwstr>
      </vt:variant>
      <vt:variant>
        <vt:i4>1703995</vt:i4>
      </vt:variant>
      <vt:variant>
        <vt:i4>218</vt:i4>
      </vt:variant>
      <vt:variant>
        <vt:i4>0</vt:i4>
      </vt:variant>
      <vt:variant>
        <vt:i4>5</vt:i4>
      </vt:variant>
      <vt:variant>
        <vt:lpwstr/>
      </vt:variant>
      <vt:variant>
        <vt:lpwstr>_Toc104880658</vt:lpwstr>
      </vt:variant>
      <vt:variant>
        <vt:i4>1703995</vt:i4>
      </vt:variant>
      <vt:variant>
        <vt:i4>212</vt:i4>
      </vt:variant>
      <vt:variant>
        <vt:i4>0</vt:i4>
      </vt:variant>
      <vt:variant>
        <vt:i4>5</vt:i4>
      </vt:variant>
      <vt:variant>
        <vt:lpwstr/>
      </vt:variant>
      <vt:variant>
        <vt:lpwstr>_Toc104880657</vt:lpwstr>
      </vt:variant>
      <vt:variant>
        <vt:i4>1703995</vt:i4>
      </vt:variant>
      <vt:variant>
        <vt:i4>206</vt:i4>
      </vt:variant>
      <vt:variant>
        <vt:i4>0</vt:i4>
      </vt:variant>
      <vt:variant>
        <vt:i4>5</vt:i4>
      </vt:variant>
      <vt:variant>
        <vt:lpwstr/>
      </vt:variant>
      <vt:variant>
        <vt:lpwstr>_Toc104880656</vt:lpwstr>
      </vt:variant>
      <vt:variant>
        <vt:i4>1703995</vt:i4>
      </vt:variant>
      <vt:variant>
        <vt:i4>200</vt:i4>
      </vt:variant>
      <vt:variant>
        <vt:i4>0</vt:i4>
      </vt:variant>
      <vt:variant>
        <vt:i4>5</vt:i4>
      </vt:variant>
      <vt:variant>
        <vt:lpwstr/>
      </vt:variant>
      <vt:variant>
        <vt:lpwstr>_Toc104880655</vt:lpwstr>
      </vt:variant>
      <vt:variant>
        <vt:i4>1703995</vt:i4>
      </vt:variant>
      <vt:variant>
        <vt:i4>194</vt:i4>
      </vt:variant>
      <vt:variant>
        <vt:i4>0</vt:i4>
      </vt:variant>
      <vt:variant>
        <vt:i4>5</vt:i4>
      </vt:variant>
      <vt:variant>
        <vt:lpwstr/>
      </vt:variant>
      <vt:variant>
        <vt:lpwstr>_Toc104880654</vt:lpwstr>
      </vt:variant>
      <vt:variant>
        <vt:i4>1703995</vt:i4>
      </vt:variant>
      <vt:variant>
        <vt:i4>188</vt:i4>
      </vt:variant>
      <vt:variant>
        <vt:i4>0</vt:i4>
      </vt:variant>
      <vt:variant>
        <vt:i4>5</vt:i4>
      </vt:variant>
      <vt:variant>
        <vt:lpwstr/>
      </vt:variant>
      <vt:variant>
        <vt:lpwstr>_Toc104880653</vt:lpwstr>
      </vt:variant>
      <vt:variant>
        <vt:i4>1703995</vt:i4>
      </vt:variant>
      <vt:variant>
        <vt:i4>182</vt:i4>
      </vt:variant>
      <vt:variant>
        <vt:i4>0</vt:i4>
      </vt:variant>
      <vt:variant>
        <vt:i4>5</vt:i4>
      </vt:variant>
      <vt:variant>
        <vt:lpwstr/>
      </vt:variant>
      <vt:variant>
        <vt:lpwstr>_Toc104880652</vt:lpwstr>
      </vt:variant>
      <vt:variant>
        <vt:i4>1703995</vt:i4>
      </vt:variant>
      <vt:variant>
        <vt:i4>176</vt:i4>
      </vt:variant>
      <vt:variant>
        <vt:i4>0</vt:i4>
      </vt:variant>
      <vt:variant>
        <vt:i4>5</vt:i4>
      </vt:variant>
      <vt:variant>
        <vt:lpwstr/>
      </vt:variant>
      <vt:variant>
        <vt:lpwstr>_Toc104880651</vt:lpwstr>
      </vt:variant>
      <vt:variant>
        <vt:i4>1703995</vt:i4>
      </vt:variant>
      <vt:variant>
        <vt:i4>170</vt:i4>
      </vt:variant>
      <vt:variant>
        <vt:i4>0</vt:i4>
      </vt:variant>
      <vt:variant>
        <vt:i4>5</vt:i4>
      </vt:variant>
      <vt:variant>
        <vt:lpwstr/>
      </vt:variant>
      <vt:variant>
        <vt:lpwstr>_Toc104880650</vt:lpwstr>
      </vt:variant>
      <vt:variant>
        <vt:i4>1769531</vt:i4>
      </vt:variant>
      <vt:variant>
        <vt:i4>164</vt:i4>
      </vt:variant>
      <vt:variant>
        <vt:i4>0</vt:i4>
      </vt:variant>
      <vt:variant>
        <vt:i4>5</vt:i4>
      </vt:variant>
      <vt:variant>
        <vt:lpwstr/>
      </vt:variant>
      <vt:variant>
        <vt:lpwstr>_Toc104880649</vt:lpwstr>
      </vt:variant>
      <vt:variant>
        <vt:i4>1769531</vt:i4>
      </vt:variant>
      <vt:variant>
        <vt:i4>158</vt:i4>
      </vt:variant>
      <vt:variant>
        <vt:i4>0</vt:i4>
      </vt:variant>
      <vt:variant>
        <vt:i4>5</vt:i4>
      </vt:variant>
      <vt:variant>
        <vt:lpwstr/>
      </vt:variant>
      <vt:variant>
        <vt:lpwstr>_Toc104880648</vt:lpwstr>
      </vt:variant>
      <vt:variant>
        <vt:i4>1769531</vt:i4>
      </vt:variant>
      <vt:variant>
        <vt:i4>152</vt:i4>
      </vt:variant>
      <vt:variant>
        <vt:i4>0</vt:i4>
      </vt:variant>
      <vt:variant>
        <vt:i4>5</vt:i4>
      </vt:variant>
      <vt:variant>
        <vt:lpwstr/>
      </vt:variant>
      <vt:variant>
        <vt:lpwstr>_Toc104880647</vt:lpwstr>
      </vt:variant>
      <vt:variant>
        <vt:i4>1769531</vt:i4>
      </vt:variant>
      <vt:variant>
        <vt:i4>146</vt:i4>
      </vt:variant>
      <vt:variant>
        <vt:i4>0</vt:i4>
      </vt:variant>
      <vt:variant>
        <vt:i4>5</vt:i4>
      </vt:variant>
      <vt:variant>
        <vt:lpwstr/>
      </vt:variant>
      <vt:variant>
        <vt:lpwstr>_Toc104880646</vt:lpwstr>
      </vt:variant>
      <vt:variant>
        <vt:i4>1769531</vt:i4>
      </vt:variant>
      <vt:variant>
        <vt:i4>140</vt:i4>
      </vt:variant>
      <vt:variant>
        <vt:i4>0</vt:i4>
      </vt:variant>
      <vt:variant>
        <vt:i4>5</vt:i4>
      </vt:variant>
      <vt:variant>
        <vt:lpwstr/>
      </vt:variant>
      <vt:variant>
        <vt:lpwstr>_Toc104880645</vt:lpwstr>
      </vt:variant>
      <vt:variant>
        <vt:i4>1769531</vt:i4>
      </vt:variant>
      <vt:variant>
        <vt:i4>134</vt:i4>
      </vt:variant>
      <vt:variant>
        <vt:i4>0</vt:i4>
      </vt:variant>
      <vt:variant>
        <vt:i4>5</vt:i4>
      </vt:variant>
      <vt:variant>
        <vt:lpwstr/>
      </vt:variant>
      <vt:variant>
        <vt:lpwstr>_Toc104880644</vt:lpwstr>
      </vt:variant>
      <vt:variant>
        <vt:i4>1769531</vt:i4>
      </vt:variant>
      <vt:variant>
        <vt:i4>128</vt:i4>
      </vt:variant>
      <vt:variant>
        <vt:i4>0</vt:i4>
      </vt:variant>
      <vt:variant>
        <vt:i4>5</vt:i4>
      </vt:variant>
      <vt:variant>
        <vt:lpwstr/>
      </vt:variant>
      <vt:variant>
        <vt:lpwstr>_Toc104880643</vt:lpwstr>
      </vt:variant>
      <vt:variant>
        <vt:i4>1769531</vt:i4>
      </vt:variant>
      <vt:variant>
        <vt:i4>122</vt:i4>
      </vt:variant>
      <vt:variant>
        <vt:i4>0</vt:i4>
      </vt:variant>
      <vt:variant>
        <vt:i4>5</vt:i4>
      </vt:variant>
      <vt:variant>
        <vt:lpwstr/>
      </vt:variant>
      <vt:variant>
        <vt:lpwstr>_Toc104880642</vt:lpwstr>
      </vt:variant>
      <vt:variant>
        <vt:i4>1769531</vt:i4>
      </vt:variant>
      <vt:variant>
        <vt:i4>116</vt:i4>
      </vt:variant>
      <vt:variant>
        <vt:i4>0</vt:i4>
      </vt:variant>
      <vt:variant>
        <vt:i4>5</vt:i4>
      </vt:variant>
      <vt:variant>
        <vt:lpwstr/>
      </vt:variant>
      <vt:variant>
        <vt:lpwstr>_Toc104880641</vt:lpwstr>
      </vt:variant>
      <vt:variant>
        <vt:i4>1769531</vt:i4>
      </vt:variant>
      <vt:variant>
        <vt:i4>110</vt:i4>
      </vt:variant>
      <vt:variant>
        <vt:i4>0</vt:i4>
      </vt:variant>
      <vt:variant>
        <vt:i4>5</vt:i4>
      </vt:variant>
      <vt:variant>
        <vt:lpwstr/>
      </vt:variant>
      <vt:variant>
        <vt:lpwstr>_Toc104880640</vt:lpwstr>
      </vt:variant>
      <vt:variant>
        <vt:i4>1835067</vt:i4>
      </vt:variant>
      <vt:variant>
        <vt:i4>104</vt:i4>
      </vt:variant>
      <vt:variant>
        <vt:i4>0</vt:i4>
      </vt:variant>
      <vt:variant>
        <vt:i4>5</vt:i4>
      </vt:variant>
      <vt:variant>
        <vt:lpwstr/>
      </vt:variant>
      <vt:variant>
        <vt:lpwstr>_Toc104880639</vt:lpwstr>
      </vt:variant>
      <vt:variant>
        <vt:i4>1835067</vt:i4>
      </vt:variant>
      <vt:variant>
        <vt:i4>98</vt:i4>
      </vt:variant>
      <vt:variant>
        <vt:i4>0</vt:i4>
      </vt:variant>
      <vt:variant>
        <vt:i4>5</vt:i4>
      </vt:variant>
      <vt:variant>
        <vt:lpwstr/>
      </vt:variant>
      <vt:variant>
        <vt:lpwstr>_Toc104880638</vt:lpwstr>
      </vt:variant>
      <vt:variant>
        <vt:i4>1835067</vt:i4>
      </vt:variant>
      <vt:variant>
        <vt:i4>92</vt:i4>
      </vt:variant>
      <vt:variant>
        <vt:i4>0</vt:i4>
      </vt:variant>
      <vt:variant>
        <vt:i4>5</vt:i4>
      </vt:variant>
      <vt:variant>
        <vt:lpwstr/>
      </vt:variant>
      <vt:variant>
        <vt:lpwstr>_Toc104880637</vt:lpwstr>
      </vt:variant>
      <vt:variant>
        <vt:i4>1835067</vt:i4>
      </vt:variant>
      <vt:variant>
        <vt:i4>86</vt:i4>
      </vt:variant>
      <vt:variant>
        <vt:i4>0</vt:i4>
      </vt:variant>
      <vt:variant>
        <vt:i4>5</vt:i4>
      </vt:variant>
      <vt:variant>
        <vt:lpwstr/>
      </vt:variant>
      <vt:variant>
        <vt:lpwstr>_Toc104880636</vt:lpwstr>
      </vt:variant>
      <vt:variant>
        <vt:i4>1835067</vt:i4>
      </vt:variant>
      <vt:variant>
        <vt:i4>80</vt:i4>
      </vt:variant>
      <vt:variant>
        <vt:i4>0</vt:i4>
      </vt:variant>
      <vt:variant>
        <vt:i4>5</vt:i4>
      </vt:variant>
      <vt:variant>
        <vt:lpwstr/>
      </vt:variant>
      <vt:variant>
        <vt:lpwstr>_Toc104880635</vt:lpwstr>
      </vt:variant>
      <vt:variant>
        <vt:i4>1835067</vt:i4>
      </vt:variant>
      <vt:variant>
        <vt:i4>74</vt:i4>
      </vt:variant>
      <vt:variant>
        <vt:i4>0</vt:i4>
      </vt:variant>
      <vt:variant>
        <vt:i4>5</vt:i4>
      </vt:variant>
      <vt:variant>
        <vt:lpwstr/>
      </vt:variant>
      <vt:variant>
        <vt:lpwstr>_Toc104880634</vt:lpwstr>
      </vt:variant>
      <vt:variant>
        <vt:i4>1835067</vt:i4>
      </vt:variant>
      <vt:variant>
        <vt:i4>68</vt:i4>
      </vt:variant>
      <vt:variant>
        <vt:i4>0</vt:i4>
      </vt:variant>
      <vt:variant>
        <vt:i4>5</vt:i4>
      </vt:variant>
      <vt:variant>
        <vt:lpwstr/>
      </vt:variant>
      <vt:variant>
        <vt:lpwstr>_Toc104880633</vt:lpwstr>
      </vt:variant>
      <vt:variant>
        <vt:i4>1835067</vt:i4>
      </vt:variant>
      <vt:variant>
        <vt:i4>62</vt:i4>
      </vt:variant>
      <vt:variant>
        <vt:i4>0</vt:i4>
      </vt:variant>
      <vt:variant>
        <vt:i4>5</vt:i4>
      </vt:variant>
      <vt:variant>
        <vt:lpwstr/>
      </vt:variant>
      <vt:variant>
        <vt:lpwstr>_Toc104880632</vt:lpwstr>
      </vt:variant>
      <vt:variant>
        <vt:i4>1835067</vt:i4>
      </vt:variant>
      <vt:variant>
        <vt:i4>56</vt:i4>
      </vt:variant>
      <vt:variant>
        <vt:i4>0</vt:i4>
      </vt:variant>
      <vt:variant>
        <vt:i4>5</vt:i4>
      </vt:variant>
      <vt:variant>
        <vt:lpwstr/>
      </vt:variant>
      <vt:variant>
        <vt:lpwstr>_Toc104880631</vt:lpwstr>
      </vt:variant>
      <vt:variant>
        <vt:i4>1835067</vt:i4>
      </vt:variant>
      <vt:variant>
        <vt:i4>50</vt:i4>
      </vt:variant>
      <vt:variant>
        <vt:i4>0</vt:i4>
      </vt:variant>
      <vt:variant>
        <vt:i4>5</vt:i4>
      </vt:variant>
      <vt:variant>
        <vt:lpwstr/>
      </vt:variant>
      <vt:variant>
        <vt:lpwstr>_Toc104880630</vt:lpwstr>
      </vt:variant>
      <vt:variant>
        <vt:i4>1900603</vt:i4>
      </vt:variant>
      <vt:variant>
        <vt:i4>44</vt:i4>
      </vt:variant>
      <vt:variant>
        <vt:i4>0</vt:i4>
      </vt:variant>
      <vt:variant>
        <vt:i4>5</vt:i4>
      </vt:variant>
      <vt:variant>
        <vt:lpwstr/>
      </vt:variant>
      <vt:variant>
        <vt:lpwstr>_Toc104880629</vt:lpwstr>
      </vt:variant>
      <vt:variant>
        <vt:i4>1900603</vt:i4>
      </vt:variant>
      <vt:variant>
        <vt:i4>38</vt:i4>
      </vt:variant>
      <vt:variant>
        <vt:i4>0</vt:i4>
      </vt:variant>
      <vt:variant>
        <vt:i4>5</vt:i4>
      </vt:variant>
      <vt:variant>
        <vt:lpwstr/>
      </vt:variant>
      <vt:variant>
        <vt:lpwstr>_Toc104880628</vt:lpwstr>
      </vt:variant>
      <vt:variant>
        <vt:i4>1900603</vt:i4>
      </vt:variant>
      <vt:variant>
        <vt:i4>32</vt:i4>
      </vt:variant>
      <vt:variant>
        <vt:i4>0</vt:i4>
      </vt:variant>
      <vt:variant>
        <vt:i4>5</vt:i4>
      </vt:variant>
      <vt:variant>
        <vt:lpwstr/>
      </vt:variant>
      <vt:variant>
        <vt:lpwstr>_Toc104880627</vt:lpwstr>
      </vt:variant>
      <vt:variant>
        <vt:i4>1900603</vt:i4>
      </vt:variant>
      <vt:variant>
        <vt:i4>26</vt:i4>
      </vt:variant>
      <vt:variant>
        <vt:i4>0</vt:i4>
      </vt:variant>
      <vt:variant>
        <vt:i4>5</vt:i4>
      </vt:variant>
      <vt:variant>
        <vt:lpwstr/>
      </vt:variant>
      <vt:variant>
        <vt:lpwstr>_Toc104880626</vt:lpwstr>
      </vt:variant>
      <vt:variant>
        <vt:i4>1900603</vt:i4>
      </vt:variant>
      <vt:variant>
        <vt:i4>20</vt:i4>
      </vt:variant>
      <vt:variant>
        <vt:i4>0</vt:i4>
      </vt:variant>
      <vt:variant>
        <vt:i4>5</vt:i4>
      </vt:variant>
      <vt:variant>
        <vt:lpwstr/>
      </vt:variant>
      <vt:variant>
        <vt:lpwstr>_Toc104880625</vt:lpwstr>
      </vt:variant>
      <vt:variant>
        <vt:i4>1900603</vt:i4>
      </vt:variant>
      <vt:variant>
        <vt:i4>14</vt:i4>
      </vt:variant>
      <vt:variant>
        <vt:i4>0</vt:i4>
      </vt:variant>
      <vt:variant>
        <vt:i4>5</vt:i4>
      </vt:variant>
      <vt:variant>
        <vt:lpwstr/>
      </vt:variant>
      <vt:variant>
        <vt:lpwstr>_Toc104880624</vt:lpwstr>
      </vt:variant>
      <vt:variant>
        <vt:i4>1900603</vt:i4>
      </vt:variant>
      <vt:variant>
        <vt:i4>8</vt:i4>
      </vt:variant>
      <vt:variant>
        <vt:i4>0</vt:i4>
      </vt:variant>
      <vt:variant>
        <vt:i4>5</vt:i4>
      </vt:variant>
      <vt:variant>
        <vt:lpwstr/>
      </vt:variant>
      <vt:variant>
        <vt:lpwstr>_Toc104880623</vt:lpwstr>
      </vt:variant>
      <vt:variant>
        <vt:i4>1900603</vt:i4>
      </vt:variant>
      <vt:variant>
        <vt:i4>2</vt:i4>
      </vt:variant>
      <vt:variant>
        <vt:i4>0</vt:i4>
      </vt:variant>
      <vt:variant>
        <vt:i4>5</vt:i4>
      </vt:variant>
      <vt:variant>
        <vt:lpwstr/>
      </vt:variant>
      <vt:variant>
        <vt:lpwstr>_Toc104880622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BoilerPlate Numbered Template</dc:title>
  <dc:subject>Systems Engineering</dc:subject>
  <dc:creator>Walt Akers</dc:creator>
  <cp:keywords>Boiler Plate</cp:keywords>
  <dc:description/>
  <cp:lastModifiedBy>Walt Akers</cp:lastModifiedBy>
  <cp:revision>1</cp:revision>
  <dcterms:created xsi:type="dcterms:W3CDTF">2026-07-14T19:32:00Z</dcterms:created>
  <dcterms:modified xsi:type="dcterms:W3CDTF">2026-07-14T19:32:00Z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0x01010035A5CA21E8D31D40818BB7CB8844EA21</vt:lpwstr>
  </property>
  <property fmtid="{D5CDD505-2E9C-101B-9397-08002B2CF9AE}" pid="3" name="MediaServiceImageTags">
    <vt:lpwstr/>
  </property>
</Properties>
</file>