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94297C" w:rsidP="007A0EA6">
      <w:pPr>
        <w:pStyle w:val="CoverpageTitle"/>
      </w:pPr>
      <w:r>
        <w:t>Detector Infrastructure Systems (6.03.01.09) to BNL Portfolio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94297C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812" w:history="1">
            <w:r w:rsidR="0094297C" w:rsidRPr="007A16A4">
              <w:rPr>
                <w:rStyle w:val="Hyperlink"/>
                <w:noProof/>
              </w:rPr>
              <w:t>1.</w:t>
            </w:r>
            <w:r w:rsidR="0094297C">
              <w:rPr>
                <w:rFonts w:asciiTheme="minorHAnsi" w:eastAsiaTheme="minorEastAsia" w:hAnsiTheme="minorHAnsi"/>
                <w:noProof/>
              </w:rPr>
              <w:tab/>
            </w:r>
            <w:r w:rsidR="0094297C" w:rsidRPr="007A16A4">
              <w:rPr>
                <w:rStyle w:val="Hyperlink"/>
                <w:noProof/>
              </w:rPr>
              <w:t>Purpose and Scope</w:t>
            </w:r>
            <w:r w:rsidR="0094297C">
              <w:rPr>
                <w:noProof/>
                <w:webHidden/>
              </w:rPr>
              <w:tab/>
            </w:r>
            <w:r w:rsidR="0094297C">
              <w:rPr>
                <w:noProof/>
                <w:webHidden/>
              </w:rPr>
              <w:fldChar w:fldCharType="begin"/>
            </w:r>
            <w:r w:rsidR="0094297C">
              <w:rPr>
                <w:noProof/>
                <w:webHidden/>
              </w:rPr>
              <w:instrText xml:space="preserve"> PAGEREF _Toc210380812 \h </w:instrText>
            </w:r>
            <w:r w:rsidR="0094297C">
              <w:rPr>
                <w:noProof/>
                <w:webHidden/>
              </w:rPr>
            </w:r>
            <w:r w:rsidR="0094297C">
              <w:rPr>
                <w:noProof/>
                <w:webHidden/>
              </w:rPr>
              <w:fldChar w:fldCharType="separate"/>
            </w:r>
            <w:r w:rsidR="0094297C">
              <w:rPr>
                <w:noProof/>
                <w:webHidden/>
              </w:rPr>
              <w:t>5</w:t>
            </w:r>
            <w:r w:rsidR="0094297C">
              <w:rPr>
                <w:noProof/>
                <w:webHidden/>
              </w:rPr>
              <w:fldChar w:fldCharType="end"/>
            </w:r>
          </w:hyperlink>
        </w:p>
        <w:p w:rsidR="0094297C" w:rsidRDefault="0094297C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13" w:history="1">
            <w:r w:rsidRPr="007A16A4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A16A4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97C" w:rsidRDefault="0094297C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14" w:history="1">
            <w:r w:rsidRPr="007A16A4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A16A4">
              <w:rPr>
                <w:rStyle w:val="Hyperlink"/>
              </w:rPr>
              <w:t>Detector Infrastructure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4297C" w:rsidRDefault="0094297C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15" w:history="1">
            <w:r w:rsidRPr="007A16A4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A16A4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4297C" w:rsidRDefault="0094297C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16" w:history="1">
            <w:r w:rsidRPr="007A16A4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A16A4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4297C" w:rsidRDefault="0094297C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17" w:history="1">
            <w:r w:rsidRPr="007A16A4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A16A4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4297C" w:rsidRDefault="0094297C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18" w:history="1">
            <w:r w:rsidRPr="007A16A4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A16A4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4297C" w:rsidRDefault="0094297C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19" w:history="1">
            <w:r w:rsidRPr="007A16A4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A16A4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94297C" w:rsidRDefault="0094297C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20" w:history="1">
            <w:r w:rsidRPr="007A16A4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A16A4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97C" w:rsidRDefault="0094297C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21" w:history="1">
            <w:r w:rsidRPr="007A16A4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A16A4">
              <w:rPr>
                <w:rStyle w:val="Hyperlink"/>
                <w:noProof/>
              </w:rPr>
              <w:t>Detector Infrastructure Systems (DET-DS-INF) to BNL Portfolio (BNL-POF)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97C" w:rsidRDefault="0094297C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22" w:history="1">
            <w:r w:rsidRPr="007A16A4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A16A4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97C" w:rsidRDefault="0094297C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23" w:history="1">
            <w:r w:rsidRPr="007A16A4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A16A4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97C" w:rsidRDefault="0094297C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24" w:history="1">
            <w:r w:rsidRPr="007A16A4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A16A4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94297C" w:rsidP="007A0EA6">
      <w:pPr>
        <w:pStyle w:val="Subtitle"/>
      </w:pPr>
      <w:r>
        <w:t>Detector Infrastructure Systems (6.03.01.09) to BNL Portfolio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812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94297C">
        <w:t>Detector Infrastructure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94297C">
        <w:t>BNL Portfolio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813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94297C">
        <w:t>Detector Infrastructure Systems</w:t>
      </w:r>
      <w:r w:rsidR="00121CD0">
        <w:t xml:space="preserve"> </w:t>
      </w:r>
      <w:r w:rsidRPr="007A0EA6">
        <w:t xml:space="preserve">and the </w:t>
      </w:r>
      <w:r w:rsidR="0094297C">
        <w:t>BNL Portfolio</w:t>
      </w:r>
      <w:r w:rsidR="00121CD0">
        <w:t xml:space="preserve"> including (examples by inclusion) located in (areas by inclusion). </w:t>
      </w:r>
    </w:p>
    <w:p w:rsidR="007A0EA6" w:rsidRPr="007A0EA6" w:rsidRDefault="0094297C" w:rsidP="00F63229">
      <w:pPr>
        <w:pStyle w:val="Heading2"/>
      </w:pPr>
      <w:bookmarkStart w:id="12" w:name="_Toc210380814"/>
      <w:bookmarkEnd w:id="11"/>
      <w:r>
        <w:t>Detector Infrastructure Systems</w:t>
      </w:r>
      <w:bookmarkEnd w:id="12"/>
    </w:p>
    <w:p w:rsidR="0094297C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94297C" w:rsidRPr="0094297C" w:rsidRDefault="0094297C" w:rsidP="0094297C">
      <w:pPr>
        <w:pStyle w:val="Body2Bulleted"/>
      </w:pPr>
      <w:r w:rsidRPr="0094297C">
        <w:rPr>
          <w:rStyle w:val="Strong"/>
        </w:rPr>
        <w:t xml:space="preserve">BNL Portfolio (BNL-POF): </w:t>
      </w:r>
      <w:r w:rsidRPr="0094297C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815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94297C">
        <w:t>BNL Portfolio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94297C">
        <w:t>Detector Infrastructure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816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817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818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819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94297C">
        <w:rPr>
          <w:color w:val="auto"/>
        </w:rPr>
        <w:t>Detector Infrastructure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820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94297C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94297C" w:rsidRDefault="0094297C" w:rsidP="0094297C">
      <w:pPr>
        <w:pStyle w:val="TableNumber"/>
      </w:pPr>
      <w:r>
        <w:t>Detector Infrastructure Systems to BNL Portfolio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94297C" w:rsidTr="009429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4297C" w:rsidRDefault="0094297C" w:rsidP="0094297C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94297C" w:rsidRDefault="0094297C" w:rsidP="0094297C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94297C" w:rsidTr="00942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4297C" w:rsidRDefault="0094297C" w:rsidP="0094297C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BNL Portfolio</w:t>
            </w:r>
          </w:p>
        </w:tc>
        <w:tc>
          <w:tcPr>
            <w:tcW w:w="1338" w:type="dxa"/>
          </w:tcPr>
          <w:p w:rsidR="0094297C" w:rsidRDefault="0094297C" w:rsidP="0094297C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297C" w:rsidTr="009429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4297C" w:rsidRDefault="0094297C" w:rsidP="0094297C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I-DET-DS-INF-INT.127</w:t>
            </w: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Central Detector Rail System</w:t>
            </w: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central rail system must be provided to allow the ePIC Barrel to be moved between the experimental hall and the assembly area. Existing rails will be used.</w:t>
            </w:r>
          </w:p>
        </w:tc>
        <w:tc>
          <w:tcPr>
            <w:tcW w:w="1338" w:type="dxa"/>
          </w:tcPr>
          <w:p w:rsidR="0094297C" w:rsidRDefault="0094297C" w:rsidP="0094297C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94297C" w:rsidTr="009429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4297C" w:rsidRDefault="0094297C" w:rsidP="0094297C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I-DET-DS-INF-INT.128</w:t>
            </w: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Forward Endcap Rail System</w:t>
            </w: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 independent rail system will be required for opening the forward endcap halves. New rails will be needed.</w:t>
            </w:r>
          </w:p>
        </w:tc>
        <w:tc>
          <w:tcPr>
            <w:tcW w:w="1338" w:type="dxa"/>
          </w:tcPr>
          <w:p w:rsidR="0094297C" w:rsidRDefault="0094297C" w:rsidP="0094297C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94297C" w:rsidTr="009429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94297C" w:rsidRDefault="0094297C" w:rsidP="0094297C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I-DET-DS-INF-INT.129</w:t>
            </w: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Backward Endcap Rail System</w:t>
            </w:r>
          </w:p>
        </w:tc>
        <w:tc>
          <w:tcPr>
            <w:tcW w:w="1337" w:type="dxa"/>
          </w:tcPr>
          <w:p w:rsidR="0094297C" w:rsidRDefault="0094297C" w:rsidP="0094297C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An independent rail system will be required for opening the backward </w:t>
            </w:r>
            <w:r>
              <w:lastRenderedPageBreak/>
              <w:t>endcap halves. New rails will be needed.</w:t>
            </w:r>
          </w:p>
        </w:tc>
        <w:tc>
          <w:tcPr>
            <w:tcW w:w="1338" w:type="dxa"/>
          </w:tcPr>
          <w:p w:rsidR="0094297C" w:rsidRDefault="0094297C" w:rsidP="0094297C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6.03.01.09.04</w:t>
            </w:r>
          </w:p>
        </w:tc>
      </w:tr>
    </w:tbl>
    <w:p w:rsidR="007A0EA6" w:rsidRDefault="007A0EA6" w:rsidP="0094297C">
      <w:pPr>
        <w:pStyle w:val="TableEntry"/>
      </w:pPr>
    </w:p>
    <w:p w:rsidR="0094297C" w:rsidRDefault="0094297C" w:rsidP="00833E3A">
      <w:bookmarkStart w:id="26" w:name="InterfaceSummary"/>
      <w:bookmarkEnd w:id="26"/>
    </w:p>
    <w:p w:rsidR="0094297C" w:rsidRDefault="0094297C" w:rsidP="0094297C">
      <w:pPr>
        <w:pStyle w:val="Heading1"/>
      </w:pPr>
      <w:bookmarkStart w:id="27" w:name="_Toc210380821"/>
      <w:r>
        <w:t>Detector Infrastructure Systems (DET-DS-INF) to BNL Portfolio (BNL-POF)</w:t>
      </w:r>
      <w:bookmarkEnd w:id="27"/>
    </w:p>
    <w:p w:rsidR="0094297C" w:rsidRDefault="0094297C" w:rsidP="0094297C">
      <w:pPr>
        <w:pStyle w:val="InterfaceHeading2"/>
      </w:pPr>
      <w:r>
        <w:t>I-DET-DS-INF-INT.127</w:t>
      </w:r>
      <w:r>
        <w:tab/>
        <w:t>Central Detector Rail System</w:t>
      </w:r>
    </w:p>
    <w:p w:rsidR="0094297C" w:rsidRDefault="0094297C" w:rsidP="0094297C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94297C" w:rsidRDefault="0094297C" w:rsidP="0094297C">
      <w:pPr>
        <w:pStyle w:val="InterfaceDetail"/>
      </w:pPr>
      <w:r>
        <w:t>System 2:</w:t>
      </w:r>
      <w:r>
        <w:tab/>
        <w:t>BNL Portfolio (BNL-POF)</w:t>
      </w:r>
    </w:p>
    <w:p w:rsidR="0094297C" w:rsidRDefault="0094297C" w:rsidP="0094297C">
      <w:pPr>
        <w:pStyle w:val="InterfaceDetail"/>
      </w:pPr>
      <w:r>
        <w:t>Type:</w:t>
      </w:r>
      <w:r>
        <w:tab/>
        <w:t>MECH</w:t>
      </w:r>
    </w:p>
    <w:p w:rsidR="0094297C" w:rsidRDefault="0094297C" w:rsidP="0094297C">
      <w:pPr>
        <w:pStyle w:val="InterfaceDetail"/>
      </w:pPr>
      <w:r>
        <w:t>Description:</w:t>
      </w:r>
      <w:r>
        <w:tab/>
        <w:t>A central rail system must be provided to allow the ePIC Barrel to be moved between the experimental hall and the assembly area. Existing rails will be used.</w:t>
      </w:r>
    </w:p>
    <w:p w:rsidR="0094297C" w:rsidRDefault="0094297C" w:rsidP="0094297C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94297C" w:rsidRPr="0094297C" w:rsidRDefault="0094297C" w:rsidP="0094297C">
      <w:pPr>
        <w:pStyle w:val="InterfaceDetail"/>
      </w:pPr>
      <w:r>
        <w:t>Details:</w:t>
      </w:r>
      <w:r>
        <w:tab/>
      </w:r>
      <w:r w:rsidRPr="0094297C">
        <w:rPr>
          <w:i/>
        </w:rPr>
        <w:t>See details in the Detector System Interface Control Document.</w:t>
      </w:r>
    </w:p>
    <w:p w:rsidR="0094297C" w:rsidRPr="0094297C" w:rsidRDefault="0094297C" w:rsidP="0094297C">
      <w:pPr>
        <w:pStyle w:val="InterfaceDetail"/>
      </w:pPr>
      <w:r w:rsidRPr="0094297C">
        <w:t>Requirements:</w:t>
      </w:r>
      <w:r w:rsidRPr="0094297C">
        <w:tab/>
        <w:t>F-DET-DS-INF.3</w:t>
      </w:r>
    </w:p>
    <w:p w:rsidR="0094297C" w:rsidRPr="0094297C" w:rsidRDefault="0094297C" w:rsidP="0094297C">
      <w:pPr>
        <w:pStyle w:val="InterfaceDetail"/>
      </w:pPr>
      <w:r w:rsidRPr="0094297C">
        <w:t>References:</w:t>
      </w:r>
      <w:r w:rsidRPr="0094297C">
        <w:tab/>
      </w:r>
    </w:p>
    <w:p w:rsidR="0094297C" w:rsidRDefault="0094297C" w:rsidP="0094297C">
      <w:pPr>
        <w:pStyle w:val="InterfaceHeading2"/>
      </w:pPr>
      <w:r>
        <w:t>I-DET-DS-INF-INT.128</w:t>
      </w:r>
      <w:r>
        <w:tab/>
        <w:t>Forward Endcap Rail System</w:t>
      </w:r>
    </w:p>
    <w:p w:rsidR="0094297C" w:rsidRDefault="0094297C" w:rsidP="0094297C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94297C" w:rsidRDefault="0094297C" w:rsidP="0094297C">
      <w:pPr>
        <w:pStyle w:val="InterfaceDetail"/>
      </w:pPr>
      <w:r>
        <w:t>System 2:</w:t>
      </w:r>
      <w:r>
        <w:tab/>
        <w:t>BNL Portfolio (BNL-POF)</w:t>
      </w:r>
    </w:p>
    <w:p w:rsidR="0094297C" w:rsidRDefault="0094297C" w:rsidP="0094297C">
      <w:pPr>
        <w:pStyle w:val="InterfaceDetail"/>
      </w:pPr>
      <w:r>
        <w:t>Type:</w:t>
      </w:r>
      <w:r>
        <w:tab/>
        <w:t>MECH</w:t>
      </w:r>
    </w:p>
    <w:p w:rsidR="0094297C" w:rsidRDefault="0094297C" w:rsidP="0094297C">
      <w:pPr>
        <w:pStyle w:val="InterfaceDetail"/>
      </w:pPr>
      <w:r>
        <w:t>Description:</w:t>
      </w:r>
      <w:r>
        <w:tab/>
        <w:t>An independent rail system will be required for opening the forward endcap halves. New rails will be needed.</w:t>
      </w:r>
    </w:p>
    <w:p w:rsidR="0094297C" w:rsidRDefault="0094297C" w:rsidP="0094297C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94297C" w:rsidRPr="0094297C" w:rsidRDefault="0094297C" w:rsidP="0094297C">
      <w:pPr>
        <w:pStyle w:val="InterfaceDetail"/>
      </w:pPr>
      <w:r>
        <w:t>Details:</w:t>
      </w:r>
      <w:r>
        <w:tab/>
      </w:r>
      <w:r w:rsidRPr="0094297C">
        <w:rPr>
          <w:i/>
        </w:rPr>
        <w:t>See details in the Detector System Interface Control Document.</w:t>
      </w:r>
    </w:p>
    <w:p w:rsidR="0094297C" w:rsidRPr="0094297C" w:rsidRDefault="0094297C" w:rsidP="0094297C">
      <w:pPr>
        <w:pStyle w:val="InterfaceDetail"/>
      </w:pPr>
      <w:r w:rsidRPr="0094297C">
        <w:t>Requirements:</w:t>
      </w:r>
      <w:r w:rsidRPr="0094297C">
        <w:tab/>
        <w:t>F-DET-DS-INF.3</w:t>
      </w:r>
    </w:p>
    <w:p w:rsidR="0094297C" w:rsidRPr="0094297C" w:rsidRDefault="0094297C" w:rsidP="0094297C">
      <w:pPr>
        <w:pStyle w:val="InterfaceDetail"/>
      </w:pPr>
      <w:r w:rsidRPr="0094297C">
        <w:t>References:</w:t>
      </w:r>
      <w:r w:rsidRPr="0094297C">
        <w:tab/>
      </w:r>
    </w:p>
    <w:p w:rsidR="0094297C" w:rsidRDefault="0094297C" w:rsidP="0094297C">
      <w:pPr>
        <w:pStyle w:val="InterfaceHeading2"/>
      </w:pPr>
      <w:r>
        <w:t>I-DET-DS-INF-INT.129</w:t>
      </w:r>
      <w:r>
        <w:tab/>
        <w:t>Backward Endcap Rail System</w:t>
      </w:r>
    </w:p>
    <w:p w:rsidR="0094297C" w:rsidRDefault="0094297C" w:rsidP="0094297C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94297C" w:rsidRDefault="0094297C" w:rsidP="0094297C">
      <w:pPr>
        <w:pStyle w:val="InterfaceDetail"/>
      </w:pPr>
      <w:r>
        <w:t>System 2:</w:t>
      </w:r>
      <w:r>
        <w:tab/>
        <w:t>BNL Portfolio (BNL-POF)</w:t>
      </w:r>
    </w:p>
    <w:p w:rsidR="0094297C" w:rsidRDefault="0094297C" w:rsidP="0094297C">
      <w:pPr>
        <w:pStyle w:val="InterfaceDetail"/>
      </w:pPr>
      <w:r>
        <w:t>Type:</w:t>
      </w:r>
      <w:r>
        <w:tab/>
        <w:t>MECH</w:t>
      </w:r>
    </w:p>
    <w:p w:rsidR="0094297C" w:rsidRDefault="0094297C" w:rsidP="0094297C">
      <w:pPr>
        <w:pStyle w:val="InterfaceDetail"/>
      </w:pPr>
      <w:r>
        <w:t>Description:</w:t>
      </w:r>
      <w:r>
        <w:tab/>
        <w:t>An independent rail system will be required for opening the backward endcap halves. New rails will be needed.</w:t>
      </w:r>
    </w:p>
    <w:p w:rsidR="0094297C" w:rsidRDefault="0094297C" w:rsidP="0094297C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94297C" w:rsidRPr="0094297C" w:rsidRDefault="0094297C" w:rsidP="0094297C">
      <w:pPr>
        <w:pStyle w:val="InterfaceDetail"/>
      </w:pPr>
      <w:r>
        <w:t>Details:</w:t>
      </w:r>
      <w:r>
        <w:tab/>
      </w:r>
      <w:r w:rsidRPr="0094297C">
        <w:rPr>
          <w:i/>
        </w:rPr>
        <w:t>See details in the Detector System Interface Control Document.</w:t>
      </w:r>
    </w:p>
    <w:p w:rsidR="0094297C" w:rsidRPr="0094297C" w:rsidRDefault="0094297C" w:rsidP="0094297C">
      <w:pPr>
        <w:pStyle w:val="InterfaceDetail"/>
      </w:pPr>
      <w:r w:rsidRPr="0094297C">
        <w:t>Requirements:</w:t>
      </w:r>
      <w:r w:rsidRPr="0094297C">
        <w:tab/>
        <w:t>F-DET-DS-INF.3</w:t>
      </w:r>
    </w:p>
    <w:p w:rsidR="0094297C" w:rsidRPr="0094297C" w:rsidRDefault="0094297C" w:rsidP="0094297C">
      <w:pPr>
        <w:pStyle w:val="InterfaceDetail"/>
      </w:pPr>
      <w:r w:rsidRPr="0094297C">
        <w:t>References:</w:t>
      </w:r>
      <w:r w:rsidRPr="0094297C">
        <w:tab/>
      </w:r>
    </w:p>
    <w:p w:rsidR="00833E3A" w:rsidRDefault="00833E3A" w:rsidP="0094297C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822"/>
      <w:r w:rsidRPr="007A0EA6">
        <w:lastRenderedPageBreak/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823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824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97C" w:rsidRDefault="0094297C" w:rsidP="006F08CB">
      <w:r>
        <w:separator/>
      </w:r>
    </w:p>
  </w:endnote>
  <w:endnote w:type="continuationSeparator" w:id="0">
    <w:p w:rsidR="0094297C" w:rsidRDefault="0094297C" w:rsidP="006F08CB">
      <w:r>
        <w:continuationSeparator/>
      </w:r>
    </w:p>
  </w:endnote>
  <w:endnote w:type="continuationNotice" w:id="1">
    <w:p w:rsidR="0094297C" w:rsidRDefault="00942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97C" w:rsidRDefault="0094297C" w:rsidP="006F08CB">
      <w:r>
        <w:separator/>
      </w:r>
    </w:p>
  </w:footnote>
  <w:footnote w:type="continuationSeparator" w:id="0">
    <w:p w:rsidR="0094297C" w:rsidRDefault="0094297C" w:rsidP="006F08CB">
      <w:r>
        <w:continuationSeparator/>
      </w:r>
    </w:p>
  </w:footnote>
  <w:footnote w:type="continuationNotice" w:id="1">
    <w:p w:rsidR="0094297C" w:rsidRDefault="00942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7C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297C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DABDD2E4-7A58-4A99-837C-53A10B68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B43F8E-9C81-4C27-A7E7-4FE30C0A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9667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2025-10-03T14:44:00Z</dcterms:created>
  <dcterms:modified xsi:type="dcterms:W3CDTF">2025-10-03T14:44:00Z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