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D56CFB" w:rsidP="007A0EA6">
      <w:pPr>
        <w:pStyle w:val="CoverpageTitle"/>
      </w:pPr>
      <w:r>
        <w:t xml:space="preserve">Detector Infrastructure Systems (6.03.01.09) to BNL Portfolio CAD 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D56CFB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760" w:history="1">
            <w:r w:rsidR="00D56CFB" w:rsidRPr="0003351B">
              <w:rPr>
                <w:rStyle w:val="Hyperlink"/>
                <w:noProof/>
              </w:rPr>
              <w:t>1.</w:t>
            </w:r>
            <w:r w:rsidR="00D56CFB">
              <w:rPr>
                <w:rFonts w:asciiTheme="minorHAnsi" w:eastAsiaTheme="minorEastAsia" w:hAnsiTheme="minorHAnsi"/>
                <w:noProof/>
              </w:rPr>
              <w:tab/>
            </w:r>
            <w:r w:rsidR="00D56CFB" w:rsidRPr="0003351B">
              <w:rPr>
                <w:rStyle w:val="Hyperlink"/>
                <w:noProof/>
              </w:rPr>
              <w:t>Purpose and Scope</w:t>
            </w:r>
            <w:r w:rsidR="00D56CFB">
              <w:rPr>
                <w:noProof/>
                <w:webHidden/>
              </w:rPr>
              <w:tab/>
            </w:r>
            <w:r w:rsidR="00D56CFB">
              <w:rPr>
                <w:noProof/>
                <w:webHidden/>
              </w:rPr>
              <w:fldChar w:fldCharType="begin"/>
            </w:r>
            <w:r w:rsidR="00D56CFB">
              <w:rPr>
                <w:noProof/>
                <w:webHidden/>
              </w:rPr>
              <w:instrText xml:space="preserve"> PAGEREF _Toc210380760 \h </w:instrText>
            </w:r>
            <w:r w:rsidR="00D56CFB">
              <w:rPr>
                <w:noProof/>
                <w:webHidden/>
              </w:rPr>
            </w:r>
            <w:r w:rsidR="00D56CFB">
              <w:rPr>
                <w:noProof/>
                <w:webHidden/>
              </w:rPr>
              <w:fldChar w:fldCharType="separate"/>
            </w:r>
            <w:r w:rsidR="00D56CFB">
              <w:rPr>
                <w:noProof/>
                <w:webHidden/>
              </w:rPr>
              <w:t>5</w:t>
            </w:r>
            <w:r w:rsidR="00D56CFB">
              <w:rPr>
                <w:noProof/>
                <w:webHidden/>
              </w:rPr>
              <w:fldChar w:fldCharType="end"/>
            </w:r>
          </w:hyperlink>
        </w:p>
        <w:p w:rsidR="00D56CFB" w:rsidRDefault="00D56C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61" w:history="1">
            <w:r w:rsidRPr="0003351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351B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CFB" w:rsidRDefault="00D56C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62" w:history="1">
            <w:r w:rsidRPr="0003351B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351B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56CFB" w:rsidRDefault="00D56C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63" w:history="1">
            <w:r w:rsidRPr="0003351B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351B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56CFB" w:rsidRDefault="00D56C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64" w:history="1">
            <w:r w:rsidRPr="0003351B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351B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56CFB" w:rsidRDefault="00D56C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65" w:history="1">
            <w:r w:rsidRPr="0003351B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351B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56CFB" w:rsidRDefault="00D56C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66" w:history="1">
            <w:r w:rsidRPr="0003351B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351B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56CFB" w:rsidRDefault="00D56CF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67" w:history="1">
            <w:r w:rsidRPr="0003351B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3351B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56CFB" w:rsidRDefault="00D56C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68" w:history="1">
            <w:r w:rsidRPr="0003351B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351B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CFB" w:rsidRDefault="00D56C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69" w:history="1">
            <w:r w:rsidRPr="0003351B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351B">
              <w:rPr>
                <w:rStyle w:val="Hyperlink"/>
                <w:noProof/>
              </w:rPr>
              <w:t>Detector Infrastructure Systems (DET-DS-INF) to BNL Portfolio CAD  (BNL-CAD)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CFB" w:rsidRDefault="00D56C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70" w:history="1">
            <w:r w:rsidRPr="0003351B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351B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CFB" w:rsidRDefault="00D56C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71" w:history="1">
            <w:r w:rsidRPr="0003351B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351B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CFB" w:rsidRDefault="00D56CF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72" w:history="1">
            <w:r w:rsidRPr="0003351B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3351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D56CFB" w:rsidP="007A0EA6">
      <w:pPr>
        <w:pStyle w:val="Subtitle"/>
      </w:pPr>
      <w:r>
        <w:t xml:space="preserve">Detector Infrastructure Systems (6.03.01.09) to BNL Portfolio CAD 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760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D56CFB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D56CFB">
        <w:t xml:space="preserve">BNL Portfolio CAD 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761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D56CFB">
        <w:t>Detector Infrastructure Systems</w:t>
      </w:r>
      <w:r w:rsidR="00121CD0">
        <w:t xml:space="preserve"> </w:t>
      </w:r>
      <w:r w:rsidRPr="007A0EA6">
        <w:t xml:space="preserve">and the </w:t>
      </w:r>
      <w:r w:rsidR="00D56CFB">
        <w:t xml:space="preserve">BNL Portfolio CAD </w:t>
      </w:r>
      <w:r w:rsidR="00121CD0">
        <w:t xml:space="preserve"> including (examples by inclusion) located in (areas by inclusion). </w:t>
      </w:r>
    </w:p>
    <w:p w:rsidR="007A0EA6" w:rsidRPr="007A0EA6" w:rsidRDefault="00D56CFB" w:rsidP="00F63229">
      <w:pPr>
        <w:pStyle w:val="Heading2"/>
      </w:pPr>
      <w:bookmarkStart w:id="12" w:name="_Toc210380762"/>
      <w:bookmarkEnd w:id="11"/>
      <w:r>
        <w:t>Detector Infrastructure Systems</w:t>
      </w:r>
      <w:bookmarkEnd w:id="12"/>
    </w:p>
    <w:p w:rsidR="00D56CFB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D56CFB" w:rsidRPr="00D56CFB" w:rsidRDefault="00D56CFB" w:rsidP="00D56CFB">
      <w:pPr>
        <w:pStyle w:val="Body2Bulleted"/>
      </w:pPr>
      <w:r w:rsidRPr="00D56CFB">
        <w:rPr>
          <w:rStyle w:val="Strong"/>
        </w:rPr>
        <w:t xml:space="preserve">BNL Portfolio CAD  (BNL-CAD): </w:t>
      </w:r>
      <w:r w:rsidRPr="00D56CFB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763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D56CFB">
        <w:t xml:space="preserve">BNL Portfolio CAD 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D56CFB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764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765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766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767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D56CFB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768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D56CFB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D56CFB" w:rsidRDefault="00D56CFB" w:rsidP="00D56CFB">
      <w:pPr>
        <w:pStyle w:val="TableNumber"/>
      </w:pPr>
      <w:r>
        <w:t xml:space="preserve">Detector Infrastructure Systems to BNL Portfolio CAD 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56CFB" w:rsidTr="00D56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56CFB" w:rsidTr="00D5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BNL Portfolio CAD 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56CFB" w:rsidTr="00D56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HVAC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Temperature and humidity control must be provided in the Assembly Hall and IR as detectors need i) cooling by ambient air,  ii) temperature stability, and  iii) low dew point.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56CFB" w:rsidTr="00D5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I-DET-DS-INF-INT.110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Deionized Water (MCW)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supply and return of deionized cooling water will need to be provided to remove heat from water cooled detectors.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56CFB" w:rsidTr="00D56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lastRenderedPageBreak/>
              <w:t>4.3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I-DET-DS-INF-INT.111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Deionized Water (Aluminum)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supply and return of specialized, non-corrosive cooling water will be needed to cool detectors using aluminum heatsinks and manifolds.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56CFB" w:rsidTr="00D5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I-DET-DS-INF-INT.112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Dry Nitrogen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supply of dry nitrogen will be needed to purge gas detectors or to cool humidity sensitive detectors (as needed).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56CFB" w:rsidTr="00D56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I-DET-DS-INF-INT.113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Compressed Air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compressed air source must be provided for the ancillary detectors and to maintain vacuum on other detector sub-systems.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56CFB" w:rsidTr="00D5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I-DET-DS-INF-INT.116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Utility Power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utility power source must be provided to support the cooling systems on the north platform and for other facility needs.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56CFB" w:rsidTr="00D56C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I-DET-DS-INF-INT.117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Clean Power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clean power source must be provided to support the operation of magnet, detectors, detector electronics, and other sensitive equipment.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D56CFB" w:rsidTr="00D5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56CFB" w:rsidRDefault="00D56CFB" w:rsidP="00D56CFB">
            <w:pPr>
              <w:pStyle w:val="TableEntry"/>
            </w:pPr>
            <w:r>
              <w:lastRenderedPageBreak/>
              <w:t>4.8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I-DET-DS-INF-INT.132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Hall Accessibility (Door Size)</w:t>
            </w:r>
          </w:p>
        </w:tc>
        <w:tc>
          <w:tcPr>
            <w:tcW w:w="1337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opening size of the door that adjoins the experimental hall and the assembly area must remain large enough to accommodate movement of the ePIC barrel assembly.</w:t>
            </w:r>
          </w:p>
        </w:tc>
        <w:tc>
          <w:tcPr>
            <w:tcW w:w="1338" w:type="dxa"/>
          </w:tcPr>
          <w:p w:rsidR="00D56CFB" w:rsidRDefault="00D56CFB" w:rsidP="00D56CF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D56CFB">
      <w:pPr>
        <w:pStyle w:val="TableEntry"/>
      </w:pPr>
    </w:p>
    <w:p w:rsidR="00D56CFB" w:rsidRDefault="00D56CFB" w:rsidP="00833E3A">
      <w:bookmarkStart w:id="26" w:name="InterfaceSummary"/>
      <w:bookmarkEnd w:id="26"/>
    </w:p>
    <w:p w:rsidR="00D56CFB" w:rsidRDefault="00D56CFB" w:rsidP="00D56CFB">
      <w:pPr>
        <w:pStyle w:val="Heading1"/>
      </w:pPr>
      <w:bookmarkStart w:id="27" w:name="_Toc210380769"/>
      <w:r>
        <w:t>Detector Infrastructure Systems (DET-DS-INF) to BNL Portfolio CAD  (BNL-CAD)</w:t>
      </w:r>
      <w:bookmarkEnd w:id="27"/>
    </w:p>
    <w:p w:rsidR="00D56CFB" w:rsidRDefault="00D56CFB" w:rsidP="00D56CFB">
      <w:pPr>
        <w:pStyle w:val="InterfaceHeading2"/>
      </w:pPr>
      <w:r>
        <w:t>I-DET-DS-INF-INT.109</w:t>
      </w:r>
      <w:r>
        <w:tab/>
        <w:t>HVAC</w:t>
      </w:r>
    </w:p>
    <w:p w:rsidR="00D56CFB" w:rsidRDefault="00D56CFB" w:rsidP="00D56CF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56CFB" w:rsidRDefault="00D56CFB" w:rsidP="00D56CFB">
      <w:pPr>
        <w:pStyle w:val="InterfaceDetail"/>
      </w:pPr>
      <w:r>
        <w:t>System 2:</w:t>
      </w:r>
      <w:r>
        <w:tab/>
        <w:t>BNL Portfolio CAD  (BNL-CAD)</w:t>
      </w:r>
    </w:p>
    <w:p w:rsidR="00D56CFB" w:rsidRDefault="00D56CFB" w:rsidP="00D56CFB">
      <w:pPr>
        <w:pStyle w:val="InterfaceDetail"/>
      </w:pPr>
      <w:r>
        <w:t>Type:</w:t>
      </w:r>
      <w:r>
        <w:tab/>
        <w:t>COOL</w:t>
      </w:r>
    </w:p>
    <w:p w:rsidR="00D56CFB" w:rsidRDefault="00D56CFB" w:rsidP="00D56CFB">
      <w:pPr>
        <w:pStyle w:val="InterfaceDetail"/>
      </w:pPr>
      <w:r>
        <w:t>Description:</w:t>
      </w:r>
      <w:r>
        <w:tab/>
        <w:t>Temperature and humidity control must be provided in the Assembly Hall and IR as detectors need i) cooling by ambient air,  ii) temperature stability, and  iii) low dew point.</w:t>
      </w:r>
    </w:p>
    <w:p w:rsidR="00D56CFB" w:rsidRDefault="00D56CFB" w:rsidP="00D56CF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56CFB" w:rsidRPr="00D56CFB" w:rsidRDefault="00D56CFB" w:rsidP="00D56CFB">
      <w:pPr>
        <w:pStyle w:val="InterfaceDetail"/>
      </w:pPr>
      <w:r>
        <w:t>Details:</w:t>
      </w:r>
      <w:r>
        <w:tab/>
      </w:r>
      <w:r w:rsidRPr="00D56CFB">
        <w:rPr>
          <w:i/>
        </w:rPr>
        <w:t>See details in the Detector System Interface Control Document.</w:t>
      </w:r>
    </w:p>
    <w:p w:rsidR="00D56CFB" w:rsidRPr="00D56CFB" w:rsidRDefault="00D56CFB" w:rsidP="00D56CFB">
      <w:pPr>
        <w:pStyle w:val="InterfaceDetail"/>
      </w:pPr>
      <w:r w:rsidRPr="00D56CFB">
        <w:t>Requirements:</w:t>
      </w:r>
      <w:r w:rsidRPr="00D56CFB">
        <w:tab/>
        <w:t>F-DET-DS-INF.3, F-DET-DS-INF.4, F-DET-DS-INF.5</w:t>
      </w:r>
    </w:p>
    <w:p w:rsidR="00D56CFB" w:rsidRPr="00D56CFB" w:rsidRDefault="00D56CFB" w:rsidP="00D56CFB">
      <w:pPr>
        <w:pStyle w:val="InterfaceDetail"/>
      </w:pPr>
      <w:r w:rsidRPr="00D56CFB">
        <w:t>References:</w:t>
      </w:r>
      <w:r w:rsidRPr="00D56CFB">
        <w:tab/>
      </w:r>
    </w:p>
    <w:p w:rsidR="00D56CFB" w:rsidRDefault="00D56CFB" w:rsidP="00D56CFB">
      <w:pPr>
        <w:pStyle w:val="InterfaceHeading2"/>
      </w:pPr>
      <w:r>
        <w:t>I-DET-DS-INF-INT.110</w:t>
      </w:r>
      <w:r>
        <w:tab/>
        <w:t>Deionized Water (MCW)</w:t>
      </w:r>
    </w:p>
    <w:p w:rsidR="00D56CFB" w:rsidRDefault="00D56CFB" w:rsidP="00D56CF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56CFB" w:rsidRDefault="00D56CFB" w:rsidP="00D56CFB">
      <w:pPr>
        <w:pStyle w:val="InterfaceDetail"/>
      </w:pPr>
      <w:r>
        <w:t>System 2:</w:t>
      </w:r>
      <w:r>
        <w:tab/>
        <w:t>BNL Portfolio CAD  (BNL-CAD)</w:t>
      </w:r>
    </w:p>
    <w:p w:rsidR="00D56CFB" w:rsidRDefault="00D56CFB" w:rsidP="00D56CFB">
      <w:pPr>
        <w:pStyle w:val="InterfaceDetail"/>
      </w:pPr>
      <w:r>
        <w:t>Type:</w:t>
      </w:r>
      <w:r>
        <w:tab/>
        <w:t>COOL</w:t>
      </w:r>
    </w:p>
    <w:p w:rsidR="00D56CFB" w:rsidRDefault="00D56CFB" w:rsidP="00D56CFB">
      <w:pPr>
        <w:pStyle w:val="InterfaceDetail"/>
      </w:pPr>
      <w:r>
        <w:t>Description:</w:t>
      </w:r>
      <w:r>
        <w:tab/>
        <w:t>A supply and return of deionized cooling water will need to be provided to remove heat from water cooled detectors.</w:t>
      </w:r>
    </w:p>
    <w:p w:rsidR="00D56CFB" w:rsidRDefault="00D56CFB" w:rsidP="00D56CF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56CFB" w:rsidRPr="00D56CFB" w:rsidRDefault="00D56CFB" w:rsidP="00D56CFB">
      <w:pPr>
        <w:pStyle w:val="InterfaceDetail"/>
      </w:pPr>
      <w:r>
        <w:t>Details:</w:t>
      </w:r>
      <w:r>
        <w:tab/>
      </w:r>
      <w:r w:rsidRPr="00D56CFB">
        <w:rPr>
          <w:i/>
        </w:rPr>
        <w:t>See details in the Detector System Interface Control Document.</w:t>
      </w:r>
    </w:p>
    <w:p w:rsidR="00D56CFB" w:rsidRPr="00D56CFB" w:rsidRDefault="00D56CFB" w:rsidP="00D56CFB">
      <w:pPr>
        <w:pStyle w:val="InterfaceDetail"/>
      </w:pPr>
      <w:r w:rsidRPr="00D56CFB">
        <w:t>Requirements:</w:t>
      </w:r>
      <w:r w:rsidRPr="00D56CFB">
        <w:tab/>
        <w:t>F-DET-DS-INF.3, F-DET-DS-INF.4, F-DET-DS-INF.5</w:t>
      </w:r>
    </w:p>
    <w:p w:rsidR="00D56CFB" w:rsidRPr="00D56CFB" w:rsidRDefault="00D56CFB" w:rsidP="00D56CFB">
      <w:pPr>
        <w:pStyle w:val="InterfaceDetail"/>
      </w:pPr>
      <w:r w:rsidRPr="00D56CFB">
        <w:t>References:</w:t>
      </w:r>
      <w:r w:rsidRPr="00D56CFB">
        <w:tab/>
      </w:r>
    </w:p>
    <w:p w:rsidR="00D56CFB" w:rsidRDefault="00D56CFB" w:rsidP="00D56CFB">
      <w:pPr>
        <w:pStyle w:val="InterfaceHeading2"/>
      </w:pPr>
      <w:r>
        <w:t>I-DET-DS-INF-INT.111</w:t>
      </w:r>
      <w:r>
        <w:tab/>
        <w:t>Deionized Water (Aluminum)</w:t>
      </w:r>
    </w:p>
    <w:p w:rsidR="00D56CFB" w:rsidRDefault="00D56CFB" w:rsidP="00D56CF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56CFB" w:rsidRDefault="00D56CFB" w:rsidP="00D56CFB">
      <w:pPr>
        <w:pStyle w:val="InterfaceDetail"/>
      </w:pPr>
      <w:r>
        <w:t>System 2:</w:t>
      </w:r>
      <w:r>
        <w:tab/>
        <w:t>BNL Portfolio CAD  (BNL-CAD)</w:t>
      </w:r>
    </w:p>
    <w:p w:rsidR="00D56CFB" w:rsidRDefault="00D56CFB" w:rsidP="00D56CFB">
      <w:pPr>
        <w:pStyle w:val="InterfaceDetail"/>
      </w:pPr>
      <w:r>
        <w:t>Type:</w:t>
      </w:r>
      <w:r>
        <w:tab/>
        <w:t>COOL</w:t>
      </w:r>
    </w:p>
    <w:p w:rsidR="00D56CFB" w:rsidRDefault="00D56CFB" w:rsidP="00D56CFB">
      <w:pPr>
        <w:pStyle w:val="InterfaceDetail"/>
      </w:pPr>
      <w:r>
        <w:lastRenderedPageBreak/>
        <w:t>Description:</w:t>
      </w:r>
      <w:r>
        <w:tab/>
        <w:t>A supply and return of specialized, non-corrosive cooling water will be needed to cool detectors using aluminum heatsinks and manifolds.</w:t>
      </w:r>
    </w:p>
    <w:p w:rsidR="00D56CFB" w:rsidRDefault="00D56CFB" w:rsidP="00D56CF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56CFB" w:rsidRPr="00D56CFB" w:rsidRDefault="00D56CFB" w:rsidP="00D56CFB">
      <w:pPr>
        <w:pStyle w:val="InterfaceDetail"/>
      </w:pPr>
      <w:r>
        <w:t>Details:</w:t>
      </w:r>
      <w:r>
        <w:tab/>
      </w:r>
      <w:r w:rsidRPr="00D56CFB">
        <w:rPr>
          <w:i/>
        </w:rPr>
        <w:t>See details in the Detector System Interface Control Document.</w:t>
      </w:r>
    </w:p>
    <w:p w:rsidR="00D56CFB" w:rsidRPr="00D56CFB" w:rsidRDefault="00D56CFB" w:rsidP="00D56CFB">
      <w:pPr>
        <w:pStyle w:val="InterfaceDetail"/>
      </w:pPr>
      <w:r w:rsidRPr="00D56CFB">
        <w:t>Requirements:</w:t>
      </w:r>
      <w:r w:rsidRPr="00D56CFB">
        <w:tab/>
        <w:t>F-DET-DS-INF.3, F-DET-DS-INF.4, F-DET-DS-INF.5</w:t>
      </w:r>
    </w:p>
    <w:p w:rsidR="00D56CFB" w:rsidRPr="00D56CFB" w:rsidRDefault="00D56CFB" w:rsidP="00D56CFB">
      <w:pPr>
        <w:pStyle w:val="InterfaceDetail"/>
      </w:pPr>
      <w:r w:rsidRPr="00D56CFB">
        <w:t>References:</w:t>
      </w:r>
      <w:r w:rsidRPr="00D56CFB">
        <w:tab/>
      </w:r>
    </w:p>
    <w:p w:rsidR="00D56CFB" w:rsidRDefault="00D56CFB" w:rsidP="00D56CFB">
      <w:pPr>
        <w:pStyle w:val="InterfaceHeading2"/>
      </w:pPr>
      <w:r>
        <w:t>I-DET-DS-INF-INT.112</w:t>
      </w:r>
      <w:r>
        <w:tab/>
        <w:t>Dry Nitrogen</w:t>
      </w:r>
    </w:p>
    <w:p w:rsidR="00D56CFB" w:rsidRDefault="00D56CFB" w:rsidP="00D56CF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56CFB" w:rsidRDefault="00D56CFB" w:rsidP="00D56CFB">
      <w:pPr>
        <w:pStyle w:val="InterfaceDetail"/>
      </w:pPr>
      <w:r>
        <w:t>System 2:</w:t>
      </w:r>
      <w:r>
        <w:tab/>
        <w:t>BNL Portfolio CAD  (BNL-CAD)</w:t>
      </w:r>
    </w:p>
    <w:p w:rsidR="00D56CFB" w:rsidRDefault="00D56CFB" w:rsidP="00D56CFB">
      <w:pPr>
        <w:pStyle w:val="InterfaceDetail"/>
      </w:pPr>
      <w:r>
        <w:t>Type:</w:t>
      </w:r>
      <w:r>
        <w:tab/>
        <w:t>GAS/FLUID</w:t>
      </w:r>
    </w:p>
    <w:p w:rsidR="00D56CFB" w:rsidRDefault="00D56CFB" w:rsidP="00D56CFB">
      <w:pPr>
        <w:pStyle w:val="InterfaceDetail"/>
      </w:pPr>
      <w:r>
        <w:t>Description:</w:t>
      </w:r>
      <w:r>
        <w:tab/>
        <w:t>A supply of dry nitrogen will be needed to purge gas detectors or to cool humidity sensitive detectors (as needed).</w:t>
      </w:r>
    </w:p>
    <w:p w:rsidR="00D56CFB" w:rsidRDefault="00D56CFB" w:rsidP="00D56CF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56CFB" w:rsidRPr="00D56CFB" w:rsidRDefault="00D56CFB" w:rsidP="00D56CFB">
      <w:pPr>
        <w:pStyle w:val="InterfaceDetail"/>
      </w:pPr>
      <w:r>
        <w:t>Details:</w:t>
      </w:r>
      <w:r>
        <w:tab/>
      </w:r>
      <w:r w:rsidRPr="00D56CFB">
        <w:rPr>
          <w:i/>
        </w:rPr>
        <w:t>See details in the Detector System Interface Control Document.</w:t>
      </w:r>
    </w:p>
    <w:p w:rsidR="00D56CFB" w:rsidRPr="00D56CFB" w:rsidRDefault="00D56CFB" w:rsidP="00D56CFB">
      <w:pPr>
        <w:pStyle w:val="InterfaceDetail"/>
      </w:pPr>
      <w:r w:rsidRPr="00D56CFB">
        <w:t>Requirements:</w:t>
      </w:r>
      <w:r w:rsidRPr="00D56CFB">
        <w:tab/>
        <w:t>F-DET-DS-INF.3, F-DET-DS-INF.4, F-DET-DS-INF.5</w:t>
      </w:r>
    </w:p>
    <w:p w:rsidR="00D56CFB" w:rsidRPr="00D56CFB" w:rsidRDefault="00D56CFB" w:rsidP="00D56CFB">
      <w:pPr>
        <w:pStyle w:val="InterfaceDetail"/>
      </w:pPr>
      <w:r w:rsidRPr="00D56CFB">
        <w:t>References:</w:t>
      </w:r>
      <w:r w:rsidRPr="00D56CFB">
        <w:tab/>
      </w:r>
    </w:p>
    <w:p w:rsidR="00D56CFB" w:rsidRDefault="00D56CFB" w:rsidP="00D56CFB">
      <w:pPr>
        <w:pStyle w:val="InterfaceHeading2"/>
      </w:pPr>
      <w:r>
        <w:t>I-DET-DS-INF-INT.113</w:t>
      </w:r>
      <w:r>
        <w:tab/>
        <w:t>Compressed Air</w:t>
      </w:r>
    </w:p>
    <w:p w:rsidR="00D56CFB" w:rsidRDefault="00D56CFB" w:rsidP="00D56CF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56CFB" w:rsidRDefault="00D56CFB" w:rsidP="00D56CFB">
      <w:pPr>
        <w:pStyle w:val="InterfaceDetail"/>
      </w:pPr>
      <w:r>
        <w:t>System 2:</w:t>
      </w:r>
      <w:r>
        <w:tab/>
        <w:t>BNL Portfolio CAD  (BNL-CAD)</w:t>
      </w:r>
    </w:p>
    <w:p w:rsidR="00D56CFB" w:rsidRDefault="00D56CFB" w:rsidP="00D56CFB">
      <w:pPr>
        <w:pStyle w:val="InterfaceDetail"/>
      </w:pPr>
      <w:r>
        <w:t>Type:</w:t>
      </w:r>
      <w:r>
        <w:tab/>
        <w:t>GAS/FLUID</w:t>
      </w:r>
    </w:p>
    <w:p w:rsidR="00D56CFB" w:rsidRDefault="00D56CFB" w:rsidP="00D56CFB">
      <w:pPr>
        <w:pStyle w:val="InterfaceDetail"/>
      </w:pPr>
      <w:r>
        <w:t>Description:</w:t>
      </w:r>
      <w:r>
        <w:tab/>
        <w:t>A compressed air source must be provided for the ancillary detectors and to maintain vacuum on other detector sub-systems.</w:t>
      </w:r>
    </w:p>
    <w:p w:rsidR="00D56CFB" w:rsidRDefault="00D56CFB" w:rsidP="00D56CF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56CFB" w:rsidRPr="00D56CFB" w:rsidRDefault="00D56CFB" w:rsidP="00D56CFB">
      <w:pPr>
        <w:pStyle w:val="InterfaceDetail"/>
      </w:pPr>
      <w:r>
        <w:t>Details:</w:t>
      </w:r>
      <w:r>
        <w:tab/>
      </w:r>
      <w:r w:rsidRPr="00D56CFB">
        <w:rPr>
          <w:i/>
        </w:rPr>
        <w:t>See details in the Detector System Interface Control Document.</w:t>
      </w:r>
    </w:p>
    <w:p w:rsidR="00D56CFB" w:rsidRPr="00D56CFB" w:rsidRDefault="00D56CFB" w:rsidP="00D56CFB">
      <w:pPr>
        <w:pStyle w:val="InterfaceDetail"/>
      </w:pPr>
      <w:r w:rsidRPr="00D56CFB">
        <w:t>Requirements:</w:t>
      </w:r>
      <w:r w:rsidRPr="00D56CFB">
        <w:tab/>
        <w:t>F-DET-DS-INF.3, F-DET-DS-INF.4, F-DET-DS-INF.5</w:t>
      </w:r>
    </w:p>
    <w:p w:rsidR="00D56CFB" w:rsidRPr="00D56CFB" w:rsidRDefault="00D56CFB" w:rsidP="00D56CFB">
      <w:pPr>
        <w:pStyle w:val="InterfaceDetail"/>
      </w:pPr>
      <w:r w:rsidRPr="00D56CFB">
        <w:t>References:</w:t>
      </w:r>
      <w:r w:rsidRPr="00D56CFB">
        <w:tab/>
      </w:r>
    </w:p>
    <w:p w:rsidR="00D56CFB" w:rsidRDefault="00D56CFB" w:rsidP="00D56CFB">
      <w:pPr>
        <w:pStyle w:val="InterfaceHeading2"/>
      </w:pPr>
      <w:r>
        <w:t>I-DET-DS-INF-INT.116</w:t>
      </w:r>
      <w:r>
        <w:tab/>
        <w:t>Utility Power</w:t>
      </w:r>
    </w:p>
    <w:p w:rsidR="00D56CFB" w:rsidRDefault="00D56CFB" w:rsidP="00D56CF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56CFB" w:rsidRDefault="00D56CFB" w:rsidP="00D56CFB">
      <w:pPr>
        <w:pStyle w:val="InterfaceDetail"/>
      </w:pPr>
      <w:r>
        <w:t>System 2:</w:t>
      </w:r>
      <w:r>
        <w:tab/>
        <w:t>BNL Portfolio CAD  (BNL-CAD)</w:t>
      </w:r>
    </w:p>
    <w:p w:rsidR="00D56CFB" w:rsidRDefault="00D56CFB" w:rsidP="00D56CFB">
      <w:pPr>
        <w:pStyle w:val="InterfaceDetail"/>
      </w:pPr>
      <w:r>
        <w:t>Type:</w:t>
      </w:r>
      <w:r>
        <w:tab/>
        <w:t>ELEC</w:t>
      </w:r>
    </w:p>
    <w:p w:rsidR="00D56CFB" w:rsidRDefault="00D56CFB" w:rsidP="00D56CFB">
      <w:pPr>
        <w:pStyle w:val="InterfaceDetail"/>
      </w:pPr>
      <w:r>
        <w:t>Description:</w:t>
      </w:r>
      <w:r>
        <w:tab/>
        <w:t>A utility power source must be provided to support the cooling systems on the north platform and for other facility needs.</w:t>
      </w:r>
    </w:p>
    <w:p w:rsidR="00D56CFB" w:rsidRDefault="00D56CFB" w:rsidP="00D56CF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56CFB" w:rsidRPr="00D56CFB" w:rsidRDefault="00D56CFB" w:rsidP="00D56CFB">
      <w:pPr>
        <w:pStyle w:val="InterfaceDetail"/>
      </w:pPr>
      <w:r>
        <w:t>Details:</w:t>
      </w:r>
      <w:r>
        <w:tab/>
      </w:r>
      <w:r w:rsidRPr="00D56CFB">
        <w:rPr>
          <w:i/>
        </w:rPr>
        <w:t>See details in the Detector System Interface Control Document.</w:t>
      </w:r>
    </w:p>
    <w:p w:rsidR="00D56CFB" w:rsidRPr="00D56CFB" w:rsidRDefault="00D56CFB" w:rsidP="00D56CFB">
      <w:pPr>
        <w:pStyle w:val="InterfaceDetail"/>
      </w:pPr>
      <w:r w:rsidRPr="00D56CFB">
        <w:t>Requirements:</w:t>
      </w:r>
      <w:r w:rsidRPr="00D56CFB">
        <w:tab/>
        <w:t>F-DET-DS-INF-ELEC.1</w:t>
      </w:r>
    </w:p>
    <w:p w:rsidR="00D56CFB" w:rsidRPr="00D56CFB" w:rsidRDefault="00D56CFB" w:rsidP="00D56CFB">
      <w:pPr>
        <w:pStyle w:val="InterfaceDetail"/>
      </w:pPr>
      <w:r w:rsidRPr="00D56CFB">
        <w:t>References:</w:t>
      </w:r>
      <w:r w:rsidRPr="00D56CFB">
        <w:tab/>
      </w:r>
    </w:p>
    <w:p w:rsidR="00D56CFB" w:rsidRDefault="00D56CFB" w:rsidP="00D56CFB">
      <w:pPr>
        <w:pStyle w:val="InterfaceHeading2"/>
      </w:pPr>
      <w:r>
        <w:t>I-DET-DS-INF-INT.117</w:t>
      </w:r>
      <w:r>
        <w:tab/>
        <w:t>Clean Power</w:t>
      </w:r>
    </w:p>
    <w:p w:rsidR="00D56CFB" w:rsidRDefault="00D56CFB" w:rsidP="00D56CF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56CFB" w:rsidRDefault="00D56CFB" w:rsidP="00D56CFB">
      <w:pPr>
        <w:pStyle w:val="InterfaceDetail"/>
      </w:pPr>
      <w:r>
        <w:t>System 2:</w:t>
      </w:r>
      <w:r>
        <w:tab/>
        <w:t>BNL Portfolio CAD  (BNL-CAD)</w:t>
      </w:r>
    </w:p>
    <w:p w:rsidR="00D56CFB" w:rsidRDefault="00D56CFB" w:rsidP="00D56CFB">
      <w:pPr>
        <w:pStyle w:val="InterfaceDetail"/>
      </w:pPr>
      <w:r>
        <w:t>Type:</w:t>
      </w:r>
      <w:r>
        <w:tab/>
        <w:t>ELEC</w:t>
      </w:r>
    </w:p>
    <w:p w:rsidR="00D56CFB" w:rsidRDefault="00D56CFB" w:rsidP="00D56CFB">
      <w:pPr>
        <w:pStyle w:val="InterfaceDetail"/>
      </w:pPr>
      <w:r>
        <w:lastRenderedPageBreak/>
        <w:t>Description:</w:t>
      </w:r>
      <w:r>
        <w:tab/>
        <w:t>A clean power source must be provided to support the operation of magnet, detectors, detector electronics, and other sensitive equipment.</w:t>
      </w:r>
    </w:p>
    <w:p w:rsidR="00D56CFB" w:rsidRDefault="00D56CFB" w:rsidP="00D56CF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56CFB" w:rsidRPr="00D56CFB" w:rsidRDefault="00D56CFB" w:rsidP="00D56CFB">
      <w:pPr>
        <w:pStyle w:val="InterfaceDetail"/>
      </w:pPr>
      <w:r>
        <w:t>Details:</w:t>
      </w:r>
      <w:r>
        <w:tab/>
      </w:r>
      <w:r w:rsidRPr="00D56CFB">
        <w:rPr>
          <w:i/>
        </w:rPr>
        <w:t>See details in the Detector System Interface Control Document.</w:t>
      </w:r>
    </w:p>
    <w:p w:rsidR="00D56CFB" w:rsidRPr="00D56CFB" w:rsidRDefault="00D56CFB" w:rsidP="00D56CFB">
      <w:pPr>
        <w:pStyle w:val="InterfaceDetail"/>
      </w:pPr>
      <w:r w:rsidRPr="00D56CFB">
        <w:t>Requirements:</w:t>
      </w:r>
      <w:r w:rsidRPr="00D56CFB">
        <w:tab/>
        <w:t>F-DET-DS-INF-ELEC.1</w:t>
      </w:r>
    </w:p>
    <w:p w:rsidR="00D56CFB" w:rsidRPr="00D56CFB" w:rsidRDefault="00D56CFB" w:rsidP="00D56CFB">
      <w:pPr>
        <w:pStyle w:val="InterfaceDetail"/>
      </w:pPr>
      <w:r w:rsidRPr="00D56CFB">
        <w:t>References:</w:t>
      </w:r>
      <w:r w:rsidRPr="00D56CFB">
        <w:tab/>
      </w:r>
    </w:p>
    <w:p w:rsidR="00D56CFB" w:rsidRDefault="00D56CFB" w:rsidP="00D56CFB">
      <w:pPr>
        <w:pStyle w:val="InterfaceHeading2"/>
      </w:pPr>
      <w:r>
        <w:t>I-DET-DS-INF-INT.132</w:t>
      </w:r>
      <w:r>
        <w:tab/>
        <w:t>Hall Accessibility (Door Size)</w:t>
      </w:r>
    </w:p>
    <w:p w:rsidR="00D56CFB" w:rsidRDefault="00D56CFB" w:rsidP="00D56CF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D56CFB" w:rsidRDefault="00D56CFB" w:rsidP="00D56CFB">
      <w:pPr>
        <w:pStyle w:val="InterfaceDetail"/>
      </w:pPr>
      <w:r>
        <w:t>System 2:</w:t>
      </w:r>
      <w:r>
        <w:tab/>
        <w:t>BNL Portfolio CAD  (BNL-CAD)</w:t>
      </w:r>
    </w:p>
    <w:p w:rsidR="00D56CFB" w:rsidRDefault="00D56CFB" w:rsidP="00D56CFB">
      <w:pPr>
        <w:pStyle w:val="InterfaceDetail"/>
      </w:pPr>
      <w:r>
        <w:t>Type:</w:t>
      </w:r>
      <w:r>
        <w:tab/>
        <w:t>SPACE</w:t>
      </w:r>
    </w:p>
    <w:p w:rsidR="00D56CFB" w:rsidRDefault="00D56CFB" w:rsidP="00D56CFB">
      <w:pPr>
        <w:pStyle w:val="InterfaceDetail"/>
      </w:pPr>
      <w:r>
        <w:t>Description:</w:t>
      </w:r>
      <w:r>
        <w:tab/>
        <w:t>The opening size of the door that adjoins the experimental hall and the assembly area must remain large enough to accommodate movement of the ePIC barrel assembly.</w:t>
      </w:r>
    </w:p>
    <w:p w:rsidR="00D56CFB" w:rsidRDefault="00D56CFB" w:rsidP="00D56CF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56CFB" w:rsidRPr="00D56CFB" w:rsidRDefault="00D56CFB" w:rsidP="00D56CFB">
      <w:pPr>
        <w:pStyle w:val="InterfaceDetail"/>
      </w:pPr>
      <w:r>
        <w:t>Details:</w:t>
      </w:r>
      <w:r>
        <w:tab/>
      </w:r>
      <w:r w:rsidRPr="00D56CFB">
        <w:rPr>
          <w:i/>
        </w:rPr>
        <w:t>See details in the Detector System Interface Control Document.</w:t>
      </w:r>
    </w:p>
    <w:p w:rsidR="00D56CFB" w:rsidRPr="00D56CFB" w:rsidRDefault="00D56CFB" w:rsidP="00D56CFB">
      <w:pPr>
        <w:pStyle w:val="InterfaceDetail"/>
      </w:pPr>
      <w:r w:rsidRPr="00D56CFB">
        <w:t>Requirements:</w:t>
      </w:r>
      <w:r w:rsidRPr="00D56CFB">
        <w:tab/>
        <w:t>F-DET-DS-INF.4</w:t>
      </w:r>
    </w:p>
    <w:p w:rsidR="00D56CFB" w:rsidRPr="00D56CFB" w:rsidRDefault="00D56CFB" w:rsidP="00D56CFB">
      <w:pPr>
        <w:pStyle w:val="InterfaceDetail"/>
      </w:pPr>
      <w:r w:rsidRPr="00D56CFB">
        <w:t>References:</w:t>
      </w:r>
      <w:r w:rsidRPr="00D56CFB">
        <w:tab/>
      </w:r>
    </w:p>
    <w:p w:rsidR="00833E3A" w:rsidRDefault="00833E3A" w:rsidP="00D56CFB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770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771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772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lastRenderedPageBreak/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CFB" w:rsidRDefault="00D56CFB" w:rsidP="006F08CB">
      <w:r>
        <w:separator/>
      </w:r>
    </w:p>
  </w:endnote>
  <w:endnote w:type="continuationSeparator" w:id="0">
    <w:p w:rsidR="00D56CFB" w:rsidRDefault="00D56CFB" w:rsidP="006F08CB">
      <w:r>
        <w:continuationSeparator/>
      </w:r>
    </w:p>
  </w:endnote>
  <w:endnote w:type="continuationNotice" w:id="1">
    <w:p w:rsidR="00D56CFB" w:rsidRDefault="00D56C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CFB" w:rsidRDefault="00D56CFB" w:rsidP="006F08CB">
      <w:r>
        <w:separator/>
      </w:r>
    </w:p>
  </w:footnote>
  <w:footnote w:type="continuationSeparator" w:id="0">
    <w:p w:rsidR="00D56CFB" w:rsidRDefault="00D56CFB" w:rsidP="006F08CB">
      <w:r>
        <w:continuationSeparator/>
      </w:r>
    </w:p>
  </w:footnote>
  <w:footnote w:type="continuationNotice" w:id="1">
    <w:p w:rsidR="00D56CFB" w:rsidRDefault="00D56C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FB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6CFB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623AE1FD-B9FD-443B-AA45-0F15640D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77EDD-40C0-48AB-BECA-AAA638A5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13461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2025-10-03T14:44:00Z</dcterms:created>
  <dcterms:modified xsi:type="dcterms:W3CDTF">2025-10-03T14:44:00Z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